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C72CC" w14:textId="77777777" w:rsidR="00861C6D" w:rsidRPr="00040369" w:rsidRDefault="00861C6D" w:rsidP="00861C6D">
      <w:pPr>
        <w:pStyle w:val="Heading1"/>
        <w:ind w:right="545"/>
        <w:rPr>
          <w:color w:val="1F4E79"/>
        </w:rPr>
      </w:pPr>
      <w:bookmarkStart w:id="0" w:name="_GoBack"/>
      <w:bookmarkEnd w:id="0"/>
      <w:r>
        <w:rPr>
          <w:rStyle w:val="Heading1"/>
          <w:color w:val="1F4E79"/>
        </w:rPr>
        <w:t>Point 21 de l</w:t>
      </w:r>
      <w:r>
        <w:rPr>
          <w:rStyle w:val="Heading1"/>
          <w:rFonts w:cs="Century Gothic"/>
          <w:color w:val="1F4E79"/>
          <w:cs/>
        </w:rPr>
        <w:t>’</w:t>
      </w:r>
      <w:r>
        <w:rPr>
          <w:rStyle w:val="Heading1"/>
          <w:color w:val="1F4E79"/>
        </w:rPr>
        <w:t xml:space="preserve">ordre du jour : </w:t>
      </w:r>
      <w:r w:rsidR="005E02ED">
        <w:rPr>
          <w:rStyle w:val="Heading1"/>
          <w:color w:val="1F4E79"/>
        </w:rPr>
        <w:t>p</w:t>
      </w:r>
      <w:r>
        <w:rPr>
          <w:rStyle w:val="Heading1"/>
          <w:color w:val="1F4E79"/>
        </w:rPr>
        <w:t>articipation du groupe de travail du GAC au Comité de nomination de l</w:t>
      </w:r>
      <w:r>
        <w:rPr>
          <w:rStyle w:val="Heading1"/>
          <w:rFonts w:cs="Century Gothic"/>
          <w:color w:val="1F4E79"/>
          <w:cs/>
        </w:rPr>
        <w:t>’</w:t>
      </w:r>
      <w:r>
        <w:rPr>
          <w:rStyle w:val="Heading1"/>
          <w:color w:val="1F4E79"/>
        </w:rPr>
        <w:t>ICANN (NomCom) - Mise à jour au GAC</w:t>
      </w:r>
    </w:p>
    <w:p w14:paraId="668CDF63" w14:textId="77777777" w:rsidR="00861C6D" w:rsidRDefault="00861C6D" w:rsidP="00861C6D">
      <w:pPr>
        <w:pStyle w:val="Heading2"/>
      </w:pPr>
      <w:r>
        <w:rPr>
          <w:rStyle w:val="Heading2"/>
        </w:rPr>
        <w:t>Problématique</w:t>
      </w:r>
    </w:p>
    <w:p w14:paraId="4562CCA7" w14:textId="77777777" w:rsidR="00861C6D" w:rsidRDefault="00861C6D" w:rsidP="00861C6D">
      <w:pPr>
        <w:pStyle w:val="BodyText"/>
        <w:ind w:right="545"/>
      </w:pPr>
      <w:r>
        <w:rPr>
          <w:rStyle w:val="BodyText"/>
        </w:rPr>
        <w:t>Critères possibles de politique publique que le NomCom pourrait utiliser dans la sélection des membres pour le Conseil d</w:t>
      </w:r>
      <w:r>
        <w:rPr>
          <w:rStyle w:val="BodyText"/>
          <w:rFonts w:cs="Century Gothic"/>
          <w:cs/>
        </w:rPr>
        <w:t>’</w:t>
      </w:r>
      <w:r>
        <w:rPr>
          <w:rStyle w:val="BodyText"/>
        </w:rPr>
        <w:t>administration de l</w:t>
      </w:r>
      <w:r>
        <w:rPr>
          <w:rStyle w:val="BodyText"/>
          <w:rFonts w:cs="Century Gothic"/>
          <w:cs/>
        </w:rPr>
        <w:t>’</w:t>
      </w:r>
      <w:r>
        <w:rPr>
          <w:rStyle w:val="BodyText"/>
        </w:rPr>
        <w:t>ICANN.</w:t>
      </w:r>
    </w:p>
    <w:p w14:paraId="7A520DE3" w14:textId="77777777" w:rsidR="00861C6D" w:rsidRDefault="00861C6D" w:rsidP="00861C6D">
      <w:pPr>
        <w:pStyle w:val="Heading2"/>
      </w:pPr>
      <w:r>
        <w:rPr>
          <w:rStyle w:val="Heading2"/>
        </w:rPr>
        <w:t>Action requise de la part du GAC</w:t>
      </w:r>
    </w:p>
    <w:p w14:paraId="38EBBAE5" w14:textId="77777777" w:rsidR="00861C6D" w:rsidRDefault="00861C6D" w:rsidP="00861C6D">
      <w:pPr>
        <w:pStyle w:val="BodyText"/>
        <w:ind w:right="545"/>
      </w:pPr>
      <w:r>
        <w:rPr>
          <w:rStyle w:val="BodyText"/>
        </w:rPr>
        <w:t>La présidente du groupe de travail (Olga Cavalli, Argentine) a distribué au GAC pour commentaires et révision du dernier document préliminaire sur les critères de politique publique suggérés pour que le NomCom les utilise dans la sélection des membres du Conseil d</w:t>
      </w:r>
      <w:r>
        <w:rPr>
          <w:rStyle w:val="BodyText"/>
          <w:rFonts w:cs="Century Gothic"/>
          <w:cs/>
        </w:rPr>
        <w:t>’</w:t>
      </w:r>
      <w:r>
        <w:rPr>
          <w:rStyle w:val="BodyText"/>
        </w:rPr>
        <w:t>administration de l</w:t>
      </w:r>
      <w:r>
        <w:rPr>
          <w:rStyle w:val="BodyText"/>
          <w:rFonts w:cs="Century Gothic"/>
          <w:cs/>
        </w:rPr>
        <w:t>’</w:t>
      </w:r>
      <w:r>
        <w:rPr>
          <w:rStyle w:val="BodyText"/>
        </w:rPr>
        <w:t xml:space="preserve">ICANN.  Le document préliminaire est présenté en pièce jointe au présent document. </w:t>
      </w:r>
    </w:p>
    <w:p w14:paraId="466DBFBA" w14:textId="77777777" w:rsidR="00861C6D" w:rsidRDefault="00861C6D" w:rsidP="00861C6D">
      <w:pPr>
        <w:pStyle w:val="Heading2"/>
      </w:pPr>
      <w:r>
        <w:rPr>
          <w:rStyle w:val="Heading2"/>
        </w:rPr>
        <w:t>Position actuelle</w:t>
      </w:r>
    </w:p>
    <w:p w14:paraId="7B6128EB" w14:textId="77777777" w:rsidR="00861C6D" w:rsidRDefault="00861C6D" w:rsidP="00861C6D">
      <w:pPr>
        <w:pStyle w:val="BodyText"/>
        <w:spacing w:afterLines="200" w:after="480"/>
        <w:rPr>
          <w:szCs w:val="20"/>
        </w:rPr>
      </w:pPr>
      <w:r>
        <w:rPr>
          <w:rStyle w:val="BodyText"/>
        </w:rPr>
        <w:t>Ce groupe de travail a été créé en 2014 et il est présidé par Olga Cavalli (Argentine).</w:t>
      </w:r>
    </w:p>
    <w:p w14:paraId="596BC438" w14:textId="77777777" w:rsidR="00861C6D" w:rsidRDefault="00861C6D" w:rsidP="00861C6D">
      <w:pPr>
        <w:pStyle w:val="BodyText"/>
        <w:spacing w:afterLines="200" w:after="480"/>
        <w:rPr>
          <w:color w:val="333333"/>
          <w:szCs w:val="20"/>
          <w:shd w:val="clear" w:color="000000" w:fill="auto"/>
        </w:rPr>
      </w:pPr>
      <w:r>
        <w:rPr>
          <w:rStyle w:val="BodyText"/>
        </w:rPr>
        <w:t>Le Comité de nomination de l</w:t>
      </w:r>
      <w:r>
        <w:rPr>
          <w:rStyle w:val="BodyText"/>
          <w:rFonts w:cs="Century Gothic"/>
          <w:cs/>
        </w:rPr>
        <w:t>’</w:t>
      </w:r>
      <w:r>
        <w:rPr>
          <w:rStyle w:val="BodyText"/>
        </w:rPr>
        <w:t xml:space="preserve">ICANN (NomCom) </w:t>
      </w:r>
      <w:r>
        <w:rPr>
          <w:rStyle w:val="BodyText"/>
          <w:color w:val="333333"/>
        </w:rPr>
        <w:t>est un comité indépendant chargé d</w:t>
      </w:r>
      <w:r>
        <w:rPr>
          <w:rStyle w:val="BodyText"/>
          <w:rFonts w:cs="Century Gothic"/>
          <w:color w:val="333333"/>
          <w:cs/>
        </w:rPr>
        <w:t>’</w:t>
      </w:r>
      <w:r>
        <w:rPr>
          <w:rStyle w:val="BodyText"/>
          <w:color w:val="333333"/>
        </w:rPr>
        <w:t xml:space="preserve">identifier et de choisir des personnes pour des postes de direction. Les </w:t>
      </w:r>
      <w:r>
        <w:rPr>
          <w:rStyle w:val="BodyText"/>
        </w:rPr>
        <w:t>statuts constitutifs de l</w:t>
      </w:r>
      <w:r>
        <w:rPr>
          <w:rStyle w:val="BodyText"/>
          <w:rFonts w:cs="Century Gothic"/>
          <w:cs/>
        </w:rPr>
        <w:t>’</w:t>
      </w:r>
      <w:r>
        <w:rPr>
          <w:rStyle w:val="BodyText"/>
        </w:rPr>
        <w:t xml:space="preserve">ICANN établissent que le </w:t>
      </w:r>
      <w:r>
        <w:rPr>
          <w:rStyle w:val="BodyText"/>
          <w:color w:val="333333"/>
        </w:rPr>
        <w:t>NomCom doit présenter un certain nombre de nominations au Conseil d</w:t>
      </w:r>
      <w:r>
        <w:rPr>
          <w:rStyle w:val="BodyText"/>
          <w:rFonts w:cs="Century Gothic"/>
          <w:color w:val="333333"/>
          <w:cs/>
        </w:rPr>
        <w:t>’</w:t>
      </w:r>
      <w:r>
        <w:rPr>
          <w:rStyle w:val="BodyText"/>
          <w:color w:val="333333"/>
        </w:rPr>
        <w:t>administration de l</w:t>
      </w:r>
      <w:r>
        <w:rPr>
          <w:rStyle w:val="BodyText"/>
          <w:rFonts w:cs="Century Gothic"/>
          <w:color w:val="333333"/>
          <w:cs/>
        </w:rPr>
        <w:t>’</w:t>
      </w:r>
      <w:r>
        <w:rPr>
          <w:rStyle w:val="BodyText"/>
        </w:rPr>
        <w:t>ICANN</w:t>
      </w:r>
      <w:r>
        <w:rPr>
          <w:rStyle w:val="BodyText"/>
          <w:color w:val="333333"/>
        </w:rPr>
        <w:t>(Conseil), au conseil de l</w:t>
      </w:r>
      <w:r>
        <w:rPr>
          <w:rStyle w:val="BodyText"/>
          <w:rFonts w:cs="Century Gothic"/>
          <w:color w:val="333333"/>
          <w:cs/>
        </w:rPr>
        <w:t>’</w:t>
      </w:r>
      <w:r>
        <w:rPr>
          <w:rStyle w:val="BodyText"/>
          <w:color w:val="333333"/>
        </w:rPr>
        <w:t>Organisation de soutien aux extensions génériques</w:t>
      </w:r>
      <w:r>
        <w:rPr>
          <w:rStyle w:val="BodyText"/>
        </w:rPr>
        <w:t xml:space="preserve"> </w:t>
      </w:r>
      <w:r>
        <w:rPr>
          <w:rStyle w:val="BodyText"/>
          <w:color w:val="333333"/>
        </w:rPr>
        <w:t>(</w:t>
      </w:r>
      <w:r>
        <w:rPr>
          <w:rStyle w:val="BodyText"/>
        </w:rPr>
        <w:t>GNSO</w:t>
      </w:r>
      <w:r>
        <w:rPr>
          <w:rStyle w:val="BodyText"/>
          <w:color w:val="333333"/>
        </w:rPr>
        <w:t>), au conseil de l</w:t>
      </w:r>
      <w:r>
        <w:rPr>
          <w:rStyle w:val="BodyText"/>
          <w:rFonts w:cs="Century Gothic"/>
          <w:color w:val="333333"/>
          <w:cs/>
        </w:rPr>
        <w:t>’</w:t>
      </w:r>
      <w:r>
        <w:rPr>
          <w:rStyle w:val="BodyText"/>
          <w:color w:val="333333"/>
        </w:rPr>
        <w:t xml:space="preserve">Organisation de soutien aux extensions </w:t>
      </w:r>
      <w:r>
        <w:rPr>
          <w:rStyle w:val="BodyText"/>
        </w:rPr>
        <w:t xml:space="preserve">géographiques </w:t>
      </w:r>
      <w:r>
        <w:rPr>
          <w:rStyle w:val="BodyText"/>
          <w:color w:val="333333"/>
        </w:rPr>
        <w:t>(</w:t>
      </w:r>
      <w:r>
        <w:rPr>
          <w:rStyle w:val="BodyText"/>
        </w:rPr>
        <w:t>ccNSO</w:t>
      </w:r>
      <w:r>
        <w:rPr>
          <w:rStyle w:val="BodyText"/>
          <w:color w:val="333333"/>
        </w:rPr>
        <w:t>)et au Comité consultatif At-Large</w:t>
      </w:r>
      <w:r>
        <w:rPr>
          <w:rStyle w:val="BodyText"/>
        </w:rPr>
        <w:t xml:space="preserve"> </w:t>
      </w:r>
      <w:r>
        <w:rPr>
          <w:rStyle w:val="BodyText"/>
          <w:color w:val="333333"/>
        </w:rPr>
        <w:t>(</w:t>
      </w:r>
      <w:r>
        <w:rPr>
          <w:rStyle w:val="BodyText"/>
        </w:rPr>
        <w:t>ALAC</w:t>
      </w:r>
      <w:r>
        <w:rPr>
          <w:rStyle w:val="BodyText"/>
          <w:color w:val="333333"/>
        </w:rPr>
        <w:t xml:space="preserve">). </w:t>
      </w:r>
    </w:p>
    <w:p w14:paraId="16537422" w14:textId="77777777" w:rsidR="00861C6D" w:rsidRPr="00F2150E" w:rsidRDefault="00861C6D" w:rsidP="00861C6D">
      <w:pPr>
        <w:pStyle w:val="BodyText"/>
        <w:spacing w:afterLines="200" w:after="480"/>
        <w:rPr>
          <w:szCs w:val="20"/>
        </w:rPr>
      </w:pPr>
      <w:r>
        <w:rPr>
          <w:rStyle w:val="BodyText"/>
          <w:color w:val="333333"/>
        </w:rPr>
        <w:t>Le GAC a un siège au NomCom. Cependant, il a été vacant depuis quelques années en raison du manque d</w:t>
      </w:r>
      <w:r>
        <w:rPr>
          <w:rStyle w:val="BodyText"/>
          <w:rFonts w:cs="Century Gothic"/>
          <w:color w:val="333333"/>
          <w:cs/>
        </w:rPr>
        <w:t>’</w:t>
      </w:r>
      <w:r>
        <w:rPr>
          <w:rStyle w:val="BodyText"/>
          <w:color w:val="333333"/>
        </w:rPr>
        <w:t xml:space="preserve">accord au sein du GAC sur le rôle approprié pour ce poste. </w:t>
      </w:r>
    </w:p>
    <w:p w14:paraId="1A9B0363" w14:textId="77777777" w:rsidR="00861C6D" w:rsidRDefault="00861C6D" w:rsidP="00861C6D">
      <w:pPr>
        <w:pStyle w:val="Heading2"/>
      </w:pPr>
      <w:bookmarkStart w:id="1" w:name="_Hlk484433727"/>
      <w:r>
        <w:rPr>
          <w:rStyle w:val="Heading2"/>
        </w:rPr>
        <w:t>Informations complémentaires</w:t>
      </w:r>
    </w:p>
    <w:p w14:paraId="47DDA7EF" w14:textId="77777777" w:rsidR="00861C6D" w:rsidRDefault="00861C6D" w:rsidP="00861C6D">
      <w:pPr>
        <w:pStyle w:val="BodyText"/>
      </w:pPr>
      <w:r>
        <w:rPr>
          <w:rStyle w:val="BodyText"/>
        </w:rPr>
        <w:t xml:space="preserve">Site Web du groupe de travail du GAC : </w:t>
      </w:r>
      <w:hyperlink r:id="rId8" w:history="1">
        <w:r>
          <w:rPr>
            <w:rStyle w:val="Hyperlink"/>
          </w:rPr>
          <w:t>https://gac.icann.org/working-group/gac-working-group-on-gac-participation-in-nomcom</w:t>
        </w:r>
      </w:hyperlink>
      <w:r>
        <w:rPr>
          <w:rStyle w:val="BodyText"/>
        </w:rPr>
        <w:t xml:space="preserve"> </w:t>
      </w:r>
    </w:p>
    <w:p w14:paraId="1D8053CB" w14:textId="77777777" w:rsidR="00861C6D" w:rsidRDefault="00861C6D" w:rsidP="00861C6D">
      <w:pPr>
        <w:pStyle w:val="BodyText"/>
      </w:pPr>
      <w:r>
        <w:rPr>
          <w:rStyle w:val="BodyText"/>
        </w:rPr>
        <w:t>NomCom de l</w:t>
      </w:r>
      <w:r>
        <w:rPr>
          <w:rStyle w:val="BodyText"/>
          <w:rFonts w:cs="Century Gothic"/>
          <w:cs/>
        </w:rPr>
        <w:t>’</w:t>
      </w:r>
      <w:r>
        <w:rPr>
          <w:rStyle w:val="BodyText"/>
        </w:rPr>
        <w:t xml:space="preserve">ICANN : </w:t>
      </w:r>
      <w:hyperlink r:id="rId9" w:history="1">
        <w:r>
          <w:rPr>
            <w:rStyle w:val="Hyperlink"/>
          </w:rPr>
          <w:t>https://www.icann.org/nomcom2018</w:t>
        </w:r>
      </w:hyperlink>
      <w:r>
        <w:rPr>
          <w:rStyle w:val="BodyText"/>
        </w:rPr>
        <w:t xml:space="preserve"> </w:t>
      </w:r>
    </w:p>
    <w:p w14:paraId="5F1B4FA9" w14:textId="77777777" w:rsidR="00861C6D" w:rsidRPr="00302AA4" w:rsidRDefault="00861C6D" w:rsidP="00861C6D">
      <w:pPr>
        <w:pStyle w:val="BodyText"/>
      </w:pPr>
      <w:r>
        <w:rPr>
          <w:rStyle w:val="BodyText"/>
        </w:rPr>
        <w:t xml:space="preserve">Révision organisationnelle du NomCom : </w:t>
      </w:r>
      <w:hyperlink r:id="rId10" w:history="1">
        <w:r>
          <w:rPr>
            <w:rStyle w:val="Hyperlink"/>
          </w:rPr>
          <w:t>https://community.icann.org/display/OR</w:t>
        </w:r>
      </w:hyperlink>
      <w:r>
        <w:rPr>
          <w:rStyle w:val="BodyText"/>
        </w:rPr>
        <w:t xml:space="preserve"> </w:t>
      </w:r>
    </w:p>
    <w:p w14:paraId="35CBFA16" w14:textId="77777777" w:rsidR="00861C6D" w:rsidRDefault="00861C6D" w:rsidP="00861C6D">
      <w:pPr>
        <w:pStyle w:val="Heading2"/>
      </w:pPr>
    </w:p>
    <w:p w14:paraId="6D45E2D9" w14:textId="77777777" w:rsidR="00861C6D" w:rsidRPr="00F2150E" w:rsidRDefault="00861C6D" w:rsidP="00861C6D">
      <w:pPr>
        <w:pStyle w:val="BodyText"/>
      </w:pPr>
    </w:p>
    <w:p w14:paraId="2D1C9C43" w14:textId="77777777" w:rsidR="00861C6D" w:rsidRDefault="00861C6D" w:rsidP="00861C6D">
      <w:pPr>
        <w:pStyle w:val="Heading2"/>
      </w:pPr>
      <w:r>
        <w:rPr>
          <w:rStyle w:val="Heading2"/>
        </w:rPr>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861C6D" w:rsidRPr="003F43E3" w14:paraId="76EB9B0D" w14:textId="77777777" w:rsidTr="00861C6D">
        <w:tc>
          <w:tcPr>
            <w:tcW w:w="3261" w:type="dxa"/>
            <w:vAlign w:val="center"/>
          </w:tcPr>
          <w:p w14:paraId="3DA392E0" w14:textId="77777777" w:rsidR="00861C6D" w:rsidRPr="00040369" w:rsidRDefault="00861C6D" w:rsidP="00861C6D">
            <w:pPr>
              <w:ind w:right="-132"/>
              <w:rPr>
                <w:rFonts w:ascii="Century Gothic" w:eastAsia="MS Mincho" w:hAnsi="Century Gothic"/>
                <w:b/>
                <w:sz w:val="20"/>
                <w:szCs w:val="20"/>
              </w:rPr>
            </w:pPr>
            <w:r>
              <w:rPr>
                <w:rStyle w:val="Normal"/>
                <w:rFonts w:ascii="Century Gothic" w:hAnsi="Century Gothic"/>
                <w:b/>
                <w:sz w:val="20"/>
              </w:rPr>
              <w:t>Titre</w:t>
            </w:r>
          </w:p>
        </w:tc>
        <w:tc>
          <w:tcPr>
            <w:tcW w:w="5811" w:type="dxa"/>
            <w:vAlign w:val="center"/>
          </w:tcPr>
          <w:p w14:paraId="474681BA" w14:textId="77777777" w:rsidR="00861C6D" w:rsidRPr="00040369" w:rsidRDefault="00861C6D" w:rsidP="00861C6D">
            <w:pPr>
              <w:ind w:right="545"/>
              <w:rPr>
                <w:rFonts w:ascii="Century Gothic" w:eastAsia="MS Mincho" w:hAnsi="Century Gothic"/>
                <w:sz w:val="20"/>
                <w:szCs w:val="20"/>
              </w:rPr>
            </w:pPr>
            <w:r>
              <w:rPr>
                <w:rStyle w:val="Normal"/>
                <w:rFonts w:ascii="Century Gothic" w:hAnsi="Century Gothic"/>
                <w:sz w:val="20"/>
              </w:rPr>
              <w:t xml:space="preserve">Groupe de travail du GAC sur la participation au </w:t>
            </w:r>
            <w:r>
              <w:rPr>
                <w:rStyle w:val="Normal"/>
                <w:rFonts w:ascii="Century Gothic" w:hAnsi="Century Gothic"/>
                <w:sz w:val="20"/>
              </w:rPr>
              <w:lastRenderedPageBreak/>
              <w:t>NomCom</w:t>
            </w:r>
          </w:p>
        </w:tc>
      </w:tr>
      <w:tr w:rsidR="00861C6D" w:rsidRPr="003F43E3" w14:paraId="674FA038" w14:textId="77777777" w:rsidTr="00861C6D">
        <w:tc>
          <w:tcPr>
            <w:tcW w:w="3261" w:type="dxa"/>
            <w:vAlign w:val="center"/>
          </w:tcPr>
          <w:p w14:paraId="47A843CC" w14:textId="77777777" w:rsidR="00861C6D" w:rsidRPr="00040369" w:rsidRDefault="00861C6D" w:rsidP="00861C6D">
            <w:pPr>
              <w:ind w:right="-132"/>
              <w:rPr>
                <w:rFonts w:ascii="Century Gothic" w:eastAsia="MS Mincho" w:hAnsi="Century Gothic"/>
                <w:b/>
                <w:sz w:val="20"/>
                <w:szCs w:val="20"/>
              </w:rPr>
            </w:pPr>
            <w:r>
              <w:rPr>
                <w:rStyle w:val="Normal"/>
                <w:rFonts w:ascii="Century Gothic" w:hAnsi="Century Gothic"/>
                <w:b/>
                <w:sz w:val="20"/>
              </w:rPr>
              <w:lastRenderedPageBreak/>
              <w:t>Distribution</w:t>
            </w:r>
          </w:p>
        </w:tc>
        <w:tc>
          <w:tcPr>
            <w:tcW w:w="5811" w:type="dxa"/>
            <w:vAlign w:val="center"/>
          </w:tcPr>
          <w:p w14:paraId="1D3DCF8A" w14:textId="77777777" w:rsidR="00861C6D" w:rsidRPr="00040369" w:rsidRDefault="00861C6D" w:rsidP="00861C6D">
            <w:pPr>
              <w:ind w:right="545"/>
              <w:rPr>
                <w:rFonts w:ascii="Century Gothic" w:eastAsia="MS Mincho" w:hAnsi="Century Gothic"/>
                <w:sz w:val="20"/>
                <w:szCs w:val="20"/>
              </w:rPr>
            </w:pPr>
            <w:r>
              <w:rPr>
                <w:rStyle w:val="Normal"/>
                <w:rFonts w:ascii="Century Gothic" w:hAnsi="Century Gothic"/>
                <w:sz w:val="20"/>
              </w:rPr>
              <w:t>Membres du GAC</w:t>
            </w:r>
          </w:p>
        </w:tc>
      </w:tr>
      <w:tr w:rsidR="00861C6D" w:rsidRPr="003F43E3" w14:paraId="529D9213" w14:textId="77777777" w:rsidTr="00861C6D">
        <w:tc>
          <w:tcPr>
            <w:tcW w:w="3261" w:type="dxa"/>
            <w:vAlign w:val="center"/>
          </w:tcPr>
          <w:p w14:paraId="74C2824C" w14:textId="77777777" w:rsidR="00861C6D" w:rsidRPr="00040369" w:rsidRDefault="00861C6D" w:rsidP="00861C6D">
            <w:pPr>
              <w:ind w:right="-132"/>
              <w:rPr>
                <w:rFonts w:ascii="Century Gothic" w:eastAsia="MS Mincho" w:hAnsi="Century Gothic"/>
                <w:b/>
                <w:sz w:val="20"/>
                <w:szCs w:val="20"/>
              </w:rPr>
            </w:pPr>
            <w:r>
              <w:rPr>
                <w:rStyle w:val="Normal"/>
                <w:rFonts w:ascii="Century Gothic" w:hAnsi="Century Gothic"/>
                <w:b/>
                <w:sz w:val="20"/>
              </w:rPr>
              <w:t>Date de distribution</w:t>
            </w:r>
          </w:p>
        </w:tc>
        <w:tc>
          <w:tcPr>
            <w:tcW w:w="5811" w:type="dxa"/>
            <w:vAlign w:val="center"/>
          </w:tcPr>
          <w:p w14:paraId="650D8469" w14:textId="77777777" w:rsidR="00861C6D" w:rsidRPr="00040369" w:rsidRDefault="00861C6D" w:rsidP="00861C6D">
            <w:pPr>
              <w:ind w:right="545"/>
              <w:rPr>
                <w:rFonts w:ascii="Century Gothic" w:eastAsia="MS Mincho" w:hAnsi="Century Gothic"/>
                <w:sz w:val="20"/>
                <w:szCs w:val="20"/>
              </w:rPr>
            </w:pPr>
            <w:r>
              <w:rPr>
                <w:rStyle w:val="Normal"/>
                <w:rFonts w:ascii="Century Gothic" w:hAnsi="Century Gothic"/>
                <w:sz w:val="20"/>
              </w:rPr>
              <w:t>7 juin 2018</w:t>
            </w:r>
          </w:p>
        </w:tc>
      </w:tr>
      <w:bookmarkEnd w:id="1"/>
    </w:tbl>
    <w:p w14:paraId="01F9CC41" w14:textId="77777777" w:rsidR="00861C6D" w:rsidRDefault="00861C6D" w:rsidP="00861C6D">
      <w:pPr>
        <w:pStyle w:val="BodyText"/>
        <w:ind w:right="545"/>
      </w:pPr>
    </w:p>
    <w:p w14:paraId="671D9BEC" w14:textId="77777777" w:rsidR="00861C6D" w:rsidRDefault="00861C6D" w:rsidP="00861C6D">
      <w:pPr>
        <w:pStyle w:val="BodyText"/>
        <w:ind w:right="545"/>
      </w:pPr>
    </w:p>
    <w:p w14:paraId="75F3A36C" w14:textId="77777777" w:rsidR="00861C6D" w:rsidRDefault="00861C6D" w:rsidP="00861C6D">
      <w:pPr>
        <w:pStyle w:val="BodyText"/>
        <w:ind w:right="545"/>
      </w:pPr>
    </w:p>
    <w:p w14:paraId="1ED14C4A" w14:textId="77777777" w:rsidR="00861C6D" w:rsidRDefault="00861C6D" w:rsidP="00861C6D">
      <w:pPr>
        <w:pStyle w:val="Heading2"/>
      </w:pPr>
      <w:r>
        <w:rPr>
          <w:rStyle w:val="Heading2"/>
        </w:rPr>
        <w:t xml:space="preserve">PIÈCE JOINTE : </w:t>
      </w:r>
      <w:r w:rsidR="00E45231">
        <w:rPr>
          <w:rStyle w:val="Heading2"/>
        </w:rPr>
        <w:t>d</w:t>
      </w:r>
      <w:r>
        <w:rPr>
          <w:rStyle w:val="Heading2"/>
        </w:rPr>
        <w:t>ocument distribué au GAC par Olga Cavalli le 4 juin 2018</w:t>
      </w:r>
    </w:p>
    <w:p w14:paraId="5E6875A4" w14:textId="77777777" w:rsidR="00861C6D" w:rsidRPr="00642DE4" w:rsidRDefault="00861C6D" w:rsidP="00861C6D">
      <w:pPr>
        <w:pStyle w:val="Heading2"/>
      </w:pPr>
      <w:r>
        <w:rPr>
          <w:rStyle w:val="Heading2"/>
        </w:rPr>
        <w:t>Critères que le GAC soumettra au NomCom</w:t>
      </w:r>
    </w:p>
    <w:p w14:paraId="68760EB6" w14:textId="77777777" w:rsidR="00861C6D" w:rsidRPr="00642DE4" w:rsidRDefault="00861C6D" w:rsidP="00861C6D">
      <w:pPr>
        <w:pStyle w:val="Heading2"/>
      </w:pPr>
      <w:r>
        <w:rPr>
          <w:rStyle w:val="Heading2"/>
        </w:rPr>
        <w:t>V8 - mars 2018</w:t>
      </w:r>
    </w:p>
    <w:p w14:paraId="141F38CE" w14:textId="77777777" w:rsidR="00861C6D" w:rsidRPr="00152D27" w:rsidRDefault="00861C6D" w:rsidP="00861C6D">
      <w:pPr>
        <w:tabs>
          <w:tab w:val="left" w:pos="9356"/>
        </w:tabs>
        <w:rPr>
          <w:rFonts w:ascii="Arial" w:hAnsi="Arial" w:cs="Arial"/>
          <w:sz w:val="22"/>
          <w:szCs w:val="22"/>
        </w:rPr>
      </w:pPr>
      <w:r>
        <w:rPr>
          <w:rStyle w:val="Normal"/>
          <w:rFonts w:ascii="Arial" w:hAnsi="Arial"/>
          <w:sz w:val="22"/>
        </w:rPr>
        <w:t>Le GAC est d</w:t>
      </w:r>
      <w:r>
        <w:rPr>
          <w:rStyle w:val="Normal"/>
          <w:rFonts w:ascii="Arial" w:hAnsi="Arial" w:cs="Arial"/>
          <w:sz w:val="22"/>
          <w:cs/>
        </w:rPr>
        <w:t>’</w:t>
      </w:r>
      <w:r>
        <w:rPr>
          <w:rStyle w:val="Normal"/>
          <w:rFonts w:ascii="Arial" w:hAnsi="Arial"/>
          <w:sz w:val="22"/>
        </w:rPr>
        <w:t>avis que le Conseil d</w:t>
      </w:r>
      <w:r>
        <w:rPr>
          <w:rStyle w:val="Normal"/>
          <w:rFonts w:ascii="Arial" w:hAnsi="Arial" w:cs="Arial"/>
          <w:sz w:val="22"/>
          <w:cs/>
        </w:rPr>
        <w:t>’</w:t>
      </w:r>
      <w:r>
        <w:rPr>
          <w:rStyle w:val="Normal"/>
          <w:rFonts w:ascii="Arial" w:hAnsi="Arial"/>
          <w:sz w:val="22"/>
        </w:rPr>
        <w:t>administration de l</w:t>
      </w:r>
      <w:r>
        <w:rPr>
          <w:rStyle w:val="Normal"/>
          <w:rFonts w:ascii="Arial" w:hAnsi="Arial" w:cs="Arial"/>
          <w:sz w:val="22"/>
          <w:cs/>
        </w:rPr>
        <w:t>’</w:t>
      </w:r>
      <w:r>
        <w:rPr>
          <w:rStyle w:val="Normal"/>
          <w:rFonts w:ascii="Arial" w:hAnsi="Arial"/>
          <w:sz w:val="22"/>
        </w:rPr>
        <w:t>ICANN devrait inclure parmi ses membres, collectivement, les membres ayant les qualités et les attributs suivants :</w:t>
      </w:r>
    </w:p>
    <w:p w14:paraId="0CD304C4" w14:textId="77777777" w:rsidR="00861C6D" w:rsidRPr="00152D27" w:rsidRDefault="00861C6D" w:rsidP="00861C6D">
      <w:pPr>
        <w:tabs>
          <w:tab w:val="left" w:pos="9356"/>
        </w:tabs>
        <w:rPr>
          <w:rFonts w:ascii="Arial" w:hAnsi="Arial" w:cs="Arial"/>
          <w:sz w:val="22"/>
          <w:szCs w:val="22"/>
        </w:rPr>
      </w:pPr>
    </w:p>
    <w:p w14:paraId="166A8316" w14:textId="77777777" w:rsidR="00861C6D" w:rsidRPr="00534CB8" w:rsidRDefault="003900B9" w:rsidP="00861C6D">
      <w:pPr>
        <w:tabs>
          <w:tab w:val="left" w:pos="9356"/>
        </w:tabs>
        <w:rPr>
          <w:rFonts w:ascii="Arial" w:eastAsia="Calibri" w:hAnsi="Arial" w:cs="Arial"/>
          <w:b/>
          <w:bCs/>
          <w:sz w:val="22"/>
          <w:szCs w:val="22"/>
        </w:rPr>
      </w:pPr>
      <w:r>
        <w:rPr>
          <w:rStyle w:val="Normal"/>
          <w:rFonts w:ascii="Arial" w:hAnsi="Arial"/>
          <w:b/>
          <w:sz w:val="22"/>
        </w:rPr>
        <w:t>Les</w:t>
      </w:r>
      <w:r w:rsidR="00861C6D">
        <w:rPr>
          <w:rStyle w:val="Normal"/>
          <w:rFonts w:ascii="Arial" w:hAnsi="Arial"/>
          <w:b/>
          <w:sz w:val="22"/>
        </w:rPr>
        <w:t xml:space="preserve"> qualités personnelles et l</w:t>
      </w:r>
      <w:r w:rsidR="00861C6D">
        <w:rPr>
          <w:rStyle w:val="Normal"/>
          <w:rFonts w:ascii="Arial" w:hAnsi="Arial" w:cs="Arial"/>
          <w:b/>
          <w:sz w:val="22"/>
          <w:cs/>
        </w:rPr>
        <w:t>’</w:t>
      </w:r>
      <w:r w:rsidR="00861C6D">
        <w:rPr>
          <w:rStyle w:val="Normal"/>
          <w:rFonts w:ascii="Arial" w:hAnsi="Arial"/>
          <w:b/>
          <w:sz w:val="22"/>
        </w:rPr>
        <w:t>expérience identifiées par le Conseil de l</w:t>
      </w:r>
      <w:r w:rsidR="00861C6D">
        <w:rPr>
          <w:rStyle w:val="Normal"/>
          <w:rFonts w:ascii="Arial" w:hAnsi="Arial" w:cs="Arial"/>
          <w:b/>
          <w:sz w:val="22"/>
          <w:cs/>
        </w:rPr>
        <w:t>’</w:t>
      </w:r>
      <w:r w:rsidR="00861C6D">
        <w:rPr>
          <w:rStyle w:val="Normal"/>
          <w:rFonts w:ascii="Arial" w:hAnsi="Arial"/>
          <w:b/>
          <w:sz w:val="22"/>
        </w:rPr>
        <w:t>ICANN dans ses conseils au NomCom de mars 2017</w:t>
      </w:r>
      <w:r w:rsidR="00861C6D">
        <w:rPr>
          <w:rFonts w:ascii="Arial" w:hAnsi="Arial"/>
          <w:b/>
          <w:sz w:val="22"/>
        </w:rPr>
        <w:footnoteReference w:id="1"/>
      </w:r>
      <w:r w:rsidR="00861C6D">
        <w:rPr>
          <w:rStyle w:val="Normal"/>
          <w:rFonts w:ascii="Arial" w:hAnsi="Arial"/>
          <w:b/>
          <w:sz w:val="22"/>
        </w:rPr>
        <w:t xml:space="preserve">. </w:t>
      </w:r>
    </w:p>
    <w:p w14:paraId="0F339918" w14:textId="77777777" w:rsidR="00861C6D" w:rsidRDefault="00861C6D" w:rsidP="00861C6D">
      <w:pPr>
        <w:pStyle w:val="ListParagraph"/>
        <w:tabs>
          <w:tab w:val="left" w:pos="9356"/>
        </w:tabs>
        <w:spacing w:after="0" w:line="240" w:lineRule="auto"/>
        <w:rPr>
          <w:rFonts w:ascii="Arial" w:hAnsi="Arial" w:cs="Arial"/>
          <w:sz w:val="22"/>
          <w:u w:val="single"/>
        </w:rPr>
      </w:pPr>
    </w:p>
    <w:p w14:paraId="4984E6BD" w14:textId="77777777" w:rsidR="00861C6D" w:rsidRDefault="00861C6D" w:rsidP="00861C6D">
      <w:pPr>
        <w:pStyle w:val="ListParagraph"/>
        <w:tabs>
          <w:tab w:val="left" w:pos="9356"/>
        </w:tabs>
        <w:spacing w:after="0" w:line="240" w:lineRule="auto"/>
        <w:ind w:left="0"/>
        <w:rPr>
          <w:rFonts w:ascii="Arial" w:hAnsi="Arial" w:cs="Arial"/>
          <w:sz w:val="22"/>
        </w:rPr>
      </w:pPr>
      <w:r>
        <w:rPr>
          <w:rStyle w:val="ListParagraph"/>
          <w:u w:val="single"/>
        </w:rPr>
        <w:t>FONDEMENT </w:t>
      </w:r>
      <w:r>
        <w:rPr>
          <w:rStyle w:val="ListParagraph"/>
        </w:rPr>
        <w:t>:</w:t>
      </w:r>
      <w:r>
        <w:rPr>
          <w:rStyle w:val="ListParagraph"/>
          <w:rFonts w:ascii="Arial" w:hAnsi="Arial"/>
          <w:sz w:val="22"/>
        </w:rPr>
        <w:t xml:space="preserve"> Il s</w:t>
      </w:r>
      <w:r>
        <w:rPr>
          <w:rStyle w:val="ListParagraph"/>
          <w:rFonts w:ascii="Arial" w:hAnsi="Arial" w:cs="Arial"/>
          <w:sz w:val="22"/>
          <w:cs/>
        </w:rPr>
        <w:t>’</w:t>
      </w:r>
      <w:r>
        <w:rPr>
          <w:rStyle w:val="ListParagraph"/>
          <w:rFonts w:ascii="Arial" w:hAnsi="Arial"/>
          <w:sz w:val="22"/>
        </w:rPr>
        <w:t>agit d</w:t>
      </w:r>
      <w:r>
        <w:rPr>
          <w:rStyle w:val="ListParagraph"/>
          <w:rFonts w:ascii="Arial" w:hAnsi="Arial" w:cs="Arial"/>
          <w:sz w:val="22"/>
          <w:cs/>
        </w:rPr>
        <w:t>’</w:t>
      </w:r>
      <w:r>
        <w:rPr>
          <w:rStyle w:val="ListParagraph"/>
          <w:rFonts w:ascii="Arial" w:hAnsi="Arial"/>
          <w:sz w:val="22"/>
        </w:rPr>
        <w:t>une question de bonne politique publique que l</w:t>
      </w:r>
      <w:r>
        <w:rPr>
          <w:rStyle w:val="ListParagraph"/>
          <w:rFonts w:ascii="Arial" w:hAnsi="Arial" w:cs="Arial"/>
          <w:sz w:val="22"/>
          <w:cs/>
        </w:rPr>
        <w:t>’</w:t>
      </w:r>
      <w:r>
        <w:rPr>
          <w:rStyle w:val="ListParagraph"/>
          <w:rFonts w:ascii="Arial" w:hAnsi="Arial"/>
          <w:sz w:val="22"/>
        </w:rPr>
        <w:t>ICANN fonctionne avec efficience et efficacité. Les critères identifiés par le Conseil semblent être un ensemble raisonnable d</w:t>
      </w:r>
      <w:r>
        <w:rPr>
          <w:rStyle w:val="ListParagraph"/>
          <w:rFonts w:ascii="Arial" w:hAnsi="Arial" w:cs="Arial"/>
          <w:sz w:val="22"/>
          <w:cs/>
        </w:rPr>
        <w:t>’</w:t>
      </w:r>
      <w:r>
        <w:rPr>
          <w:rStyle w:val="ListParagraph"/>
          <w:rFonts w:ascii="Arial" w:hAnsi="Arial"/>
          <w:sz w:val="22"/>
        </w:rPr>
        <w:t>exigences opérationnelles à cette fin.</w:t>
      </w:r>
    </w:p>
    <w:p w14:paraId="0A94C345" w14:textId="77777777" w:rsidR="00861C6D" w:rsidRPr="00152D27" w:rsidRDefault="00861C6D" w:rsidP="00861C6D">
      <w:pPr>
        <w:pStyle w:val="ListParagraph"/>
        <w:tabs>
          <w:tab w:val="left" w:pos="9356"/>
        </w:tabs>
        <w:spacing w:after="0" w:line="240" w:lineRule="auto"/>
        <w:ind w:left="0"/>
        <w:rPr>
          <w:rFonts w:ascii="Arial" w:hAnsi="Arial" w:cs="Arial"/>
          <w:sz w:val="22"/>
        </w:rPr>
      </w:pPr>
    </w:p>
    <w:p w14:paraId="0813E30B" w14:textId="77777777" w:rsidR="00861C6D" w:rsidRPr="00152D27" w:rsidRDefault="00861C6D" w:rsidP="00861C6D">
      <w:pPr>
        <w:tabs>
          <w:tab w:val="left" w:pos="9356"/>
        </w:tabs>
        <w:rPr>
          <w:rFonts w:ascii="Arial" w:hAnsi="Arial" w:cs="Arial"/>
          <w:sz w:val="22"/>
          <w:szCs w:val="22"/>
        </w:rPr>
      </w:pPr>
    </w:p>
    <w:p w14:paraId="7DF9E094" w14:textId="77777777" w:rsidR="00861C6D" w:rsidRPr="00152D27" w:rsidRDefault="003900B9" w:rsidP="00861C6D">
      <w:pPr>
        <w:tabs>
          <w:tab w:val="left" w:pos="9356"/>
        </w:tabs>
        <w:rPr>
          <w:rFonts w:ascii="Arial" w:eastAsia="Calibri" w:hAnsi="Arial" w:cs="Arial"/>
          <w:b/>
          <w:bCs/>
          <w:sz w:val="22"/>
          <w:szCs w:val="22"/>
        </w:rPr>
      </w:pPr>
      <w:r>
        <w:rPr>
          <w:rStyle w:val="Normal"/>
          <w:rFonts w:ascii="Arial" w:hAnsi="Arial"/>
          <w:b/>
          <w:sz w:val="22"/>
        </w:rPr>
        <w:t>L’expérience</w:t>
      </w:r>
      <w:r w:rsidR="00861C6D">
        <w:rPr>
          <w:rStyle w:val="Normal"/>
          <w:rFonts w:ascii="Arial" w:hAnsi="Arial"/>
          <w:b/>
          <w:sz w:val="22"/>
        </w:rPr>
        <w:t xml:space="preserve"> de travail avec ou dans le secteur public, y compris les gouvernements locaux ou nationaux, les autorités publiques ou les organismes intergouvernementaux.</w:t>
      </w:r>
    </w:p>
    <w:p w14:paraId="762987D2" w14:textId="77777777" w:rsidR="00861C6D" w:rsidRPr="00152D27" w:rsidRDefault="00861C6D" w:rsidP="00861C6D">
      <w:pPr>
        <w:pStyle w:val="ListParagraph"/>
        <w:tabs>
          <w:tab w:val="left" w:pos="9356"/>
        </w:tabs>
        <w:spacing w:after="0" w:line="240" w:lineRule="auto"/>
        <w:ind w:left="360"/>
        <w:jc w:val="left"/>
        <w:rPr>
          <w:rFonts w:ascii="Arial" w:hAnsi="Arial" w:cs="Arial"/>
          <w:b/>
          <w:bCs/>
          <w:sz w:val="22"/>
        </w:rPr>
      </w:pPr>
      <w:r>
        <w:rPr>
          <w:rStyle w:val="ListParagraph"/>
          <w:rFonts w:ascii="Arial" w:hAnsi="Arial"/>
          <w:b/>
          <w:sz w:val="22"/>
        </w:rPr>
        <w:t>.</w:t>
      </w:r>
    </w:p>
    <w:p w14:paraId="324C7F72" w14:textId="77777777" w:rsidR="00861C6D" w:rsidRPr="00152D27" w:rsidRDefault="00861C6D" w:rsidP="00861C6D">
      <w:pPr>
        <w:widowControl w:val="0"/>
        <w:autoSpaceDE w:val="0"/>
        <w:autoSpaceDN w:val="0"/>
        <w:adjustRightInd w:val="0"/>
        <w:spacing w:after="240"/>
        <w:rPr>
          <w:rFonts w:ascii="Arial" w:eastAsia="Calibri" w:hAnsi="Arial" w:cs="Arial"/>
          <w:sz w:val="22"/>
          <w:szCs w:val="22"/>
        </w:rPr>
      </w:pPr>
      <w:r>
        <w:rPr>
          <w:rStyle w:val="Normal"/>
          <w:u w:val="single"/>
        </w:rPr>
        <w:t>FONDEMENT </w:t>
      </w:r>
      <w:r>
        <w:rPr>
          <w:rStyle w:val="Normal"/>
        </w:rPr>
        <w:t>:</w:t>
      </w:r>
      <w:r>
        <w:rPr>
          <w:rStyle w:val="Normal"/>
          <w:rFonts w:ascii="Arial" w:hAnsi="Arial"/>
          <w:sz w:val="22"/>
        </w:rPr>
        <w:t xml:space="preserve"> L</w:t>
      </w:r>
      <w:r>
        <w:rPr>
          <w:rStyle w:val="Normal"/>
          <w:rFonts w:ascii="Arial" w:hAnsi="Arial" w:cs="Arial"/>
          <w:sz w:val="22"/>
          <w:cs/>
        </w:rPr>
        <w:t>’</w:t>
      </w:r>
      <w:r>
        <w:rPr>
          <w:rStyle w:val="Normal"/>
          <w:rFonts w:ascii="Arial" w:hAnsi="Arial"/>
          <w:sz w:val="22"/>
        </w:rPr>
        <w:t>expérience de travail ou d</w:t>
      </w:r>
      <w:r>
        <w:rPr>
          <w:rStyle w:val="Normal"/>
          <w:rFonts w:ascii="Arial" w:hAnsi="Arial" w:cs="Arial"/>
          <w:sz w:val="22"/>
          <w:cs/>
        </w:rPr>
        <w:t>’</w:t>
      </w:r>
      <w:r>
        <w:rPr>
          <w:rStyle w:val="Normal"/>
          <w:rFonts w:ascii="Arial" w:hAnsi="Arial"/>
          <w:sz w:val="22"/>
        </w:rPr>
        <w:t xml:space="preserve">interaction avec les gouvernements ou les autorités publiques peut contribuer à une bonne compréhension par le Conseil des commentaires du GAC qui représentent le point de vue des gouvernements concernés/intéressés et des organismes intergouvernementaux. </w:t>
      </w:r>
    </w:p>
    <w:p w14:paraId="3BC21181" w14:textId="77777777" w:rsidR="00861C6D" w:rsidRPr="00152D27" w:rsidRDefault="00861C6D" w:rsidP="00861C6D">
      <w:pPr>
        <w:tabs>
          <w:tab w:val="left" w:pos="9356"/>
        </w:tabs>
        <w:rPr>
          <w:rFonts w:ascii="Arial" w:eastAsia="Calibri" w:hAnsi="Arial" w:cs="Arial"/>
          <w:b/>
          <w:bCs/>
          <w:sz w:val="22"/>
          <w:szCs w:val="22"/>
        </w:rPr>
      </w:pPr>
    </w:p>
    <w:p w14:paraId="1F265A95" w14:textId="77777777" w:rsidR="00861C6D" w:rsidRPr="00152D27" w:rsidRDefault="00861C6D" w:rsidP="00861C6D">
      <w:pPr>
        <w:tabs>
          <w:tab w:val="left" w:pos="9356"/>
        </w:tabs>
        <w:rPr>
          <w:rFonts w:ascii="Arial" w:eastAsia="Calibri" w:hAnsi="Arial" w:cs="Arial"/>
          <w:b/>
          <w:bCs/>
          <w:sz w:val="22"/>
          <w:szCs w:val="22"/>
        </w:rPr>
      </w:pPr>
      <w:r>
        <w:rPr>
          <w:rStyle w:val="Normal"/>
          <w:rFonts w:ascii="Arial" w:hAnsi="Arial"/>
          <w:b/>
          <w:sz w:val="22"/>
        </w:rPr>
        <w:t>La compréhension et l</w:t>
      </w:r>
      <w:r>
        <w:rPr>
          <w:rStyle w:val="Normal"/>
          <w:rFonts w:ascii="Arial" w:hAnsi="Arial" w:cs="Arial"/>
          <w:b/>
          <w:sz w:val="22"/>
          <w:cs/>
        </w:rPr>
        <w:t>’</w:t>
      </w:r>
      <w:r>
        <w:rPr>
          <w:rStyle w:val="Normal"/>
          <w:rFonts w:ascii="Arial" w:hAnsi="Arial"/>
          <w:b/>
          <w:sz w:val="22"/>
        </w:rPr>
        <w:t>appréciation en faveur de l</w:t>
      </w:r>
      <w:r>
        <w:rPr>
          <w:rStyle w:val="Normal"/>
          <w:rFonts w:ascii="Arial" w:hAnsi="Arial" w:cs="Arial"/>
          <w:b/>
          <w:sz w:val="22"/>
          <w:cs/>
        </w:rPr>
        <w:t>’</w:t>
      </w:r>
      <w:r>
        <w:rPr>
          <w:rStyle w:val="Normal"/>
          <w:rFonts w:ascii="Arial" w:hAnsi="Arial"/>
          <w:b/>
          <w:sz w:val="22"/>
        </w:rPr>
        <w:t xml:space="preserve">intérêt public à travers la création de partenariats et de consensus </w:t>
      </w:r>
    </w:p>
    <w:p w14:paraId="1D6DBC01" w14:textId="77777777" w:rsidR="00861C6D" w:rsidRPr="00152D27" w:rsidRDefault="00861C6D" w:rsidP="00861C6D">
      <w:pPr>
        <w:pStyle w:val="ListParagraph"/>
        <w:tabs>
          <w:tab w:val="left" w:pos="9356"/>
        </w:tabs>
        <w:spacing w:after="0" w:line="240" w:lineRule="auto"/>
        <w:ind w:left="360"/>
        <w:jc w:val="left"/>
        <w:rPr>
          <w:rFonts w:ascii="Arial" w:hAnsi="Arial" w:cs="Arial"/>
          <w:b/>
          <w:bCs/>
          <w:sz w:val="22"/>
        </w:rPr>
      </w:pPr>
      <w:r>
        <w:rPr>
          <w:rStyle w:val="ListParagraph"/>
          <w:rFonts w:ascii="Arial" w:hAnsi="Arial"/>
          <w:b/>
          <w:sz w:val="22"/>
        </w:rPr>
        <w:t>.</w:t>
      </w:r>
    </w:p>
    <w:p w14:paraId="15D23CD8" w14:textId="77777777" w:rsidR="00861C6D" w:rsidRPr="00534CB8" w:rsidRDefault="00861C6D" w:rsidP="00861C6D">
      <w:pPr>
        <w:pStyle w:val="ListParagraph"/>
        <w:tabs>
          <w:tab w:val="left" w:pos="9356"/>
        </w:tabs>
        <w:spacing w:after="0" w:line="240" w:lineRule="auto"/>
        <w:jc w:val="left"/>
        <w:rPr>
          <w:rFonts w:ascii="Arial" w:hAnsi="Arial" w:cs="Arial"/>
          <w:sz w:val="22"/>
        </w:rPr>
      </w:pPr>
      <w:r>
        <w:rPr>
          <w:rStyle w:val="ListParagraph"/>
          <w:u w:val="single"/>
        </w:rPr>
        <w:t>FONDEMENT </w:t>
      </w:r>
      <w:r>
        <w:rPr>
          <w:rStyle w:val="ListParagraph"/>
        </w:rPr>
        <w:t>:</w:t>
      </w:r>
      <w:r>
        <w:rPr>
          <w:rStyle w:val="ListParagraph"/>
          <w:rFonts w:ascii="Arial" w:hAnsi="Arial"/>
          <w:sz w:val="22"/>
        </w:rPr>
        <w:t xml:space="preserve"> La compréhension et l</w:t>
      </w:r>
      <w:r>
        <w:rPr>
          <w:rStyle w:val="ListParagraph"/>
          <w:rFonts w:ascii="Arial" w:hAnsi="Arial" w:cs="Arial"/>
          <w:sz w:val="22"/>
          <w:cs/>
        </w:rPr>
        <w:t>’</w:t>
      </w:r>
      <w:r>
        <w:rPr>
          <w:rStyle w:val="ListParagraph"/>
          <w:rFonts w:ascii="Arial" w:hAnsi="Arial"/>
          <w:sz w:val="22"/>
        </w:rPr>
        <w:t>appréciation des partenariats public-privé et/ou des processus multipartites pour l</w:t>
      </w:r>
      <w:r>
        <w:rPr>
          <w:rStyle w:val="ListParagraph"/>
          <w:rFonts w:ascii="Arial" w:hAnsi="Arial" w:cs="Arial"/>
          <w:sz w:val="22"/>
          <w:cs/>
        </w:rPr>
        <w:t>’</w:t>
      </w:r>
      <w:r>
        <w:rPr>
          <w:rStyle w:val="ListParagraph"/>
          <w:rFonts w:ascii="Arial" w:hAnsi="Arial"/>
          <w:sz w:val="22"/>
        </w:rPr>
        <w:t>élaboration d</w:t>
      </w:r>
      <w:r>
        <w:rPr>
          <w:rStyle w:val="ListParagraph"/>
          <w:rFonts w:ascii="Arial" w:hAnsi="Arial" w:cs="Arial"/>
          <w:sz w:val="22"/>
          <w:cs/>
        </w:rPr>
        <w:t>’</w:t>
      </w:r>
      <w:r>
        <w:rPr>
          <w:rStyle w:val="ListParagraph"/>
          <w:rFonts w:ascii="Arial" w:hAnsi="Arial"/>
          <w:sz w:val="22"/>
        </w:rPr>
        <w:t>une approche consultative peut faciliter une résolution constructive des questions.</w:t>
      </w:r>
    </w:p>
    <w:p w14:paraId="3D74F313" w14:textId="77777777" w:rsidR="00861C6D" w:rsidRDefault="00861C6D" w:rsidP="00861C6D">
      <w:pPr>
        <w:pStyle w:val="ListParagraph"/>
        <w:tabs>
          <w:tab w:val="left" w:pos="9356"/>
        </w:tabs>
        <w:spacing w:after="0" w:line="240" w:lineRule="auto"/>
        <w:jc w:val="left"/>
        <w:rPr>
          <w:rFonts w:ascii="Arial" w:hAnsi="Arial" w:cs="Arial"/>
          <w:sz w:val="22"/>
        </w:rPr>
      </w:pPr>
    </w:p>
    <w:p w14:paraId="4A9DFA1E" w14:textId="77777777" w:rsidR="00861C6D" w:rsidRPr="00152D27" w:rsidRDefault="00861C6D" w:rsidP="00861C6D">
      <w:pPr>
        <w:tabs>
          <w:tab w:val="left" w:pos="9356"/>
        </w:tabs>
        <w:rPr>
          <w:rFonts w:ascii="Arial" w:hAnsi="Arial" w:cs="Arial"/>
          <w:sz w:val="22"/>
          <w:szCs w:val="22"/>
        </w:rPr>
      </w:pPr>
    </w:p>
    <w:p w14:paraId="29911F0D" w14:textId="77777777" w:rsidR="00861C6D" w:rsidRPr="00152D27" w:rsidRDefault="003900B9" w:rsidP="00861C6D">
      <w:pPr>
        <w:tabs>
          <w:tab w:val="left" w:pos="9356"/>
        </w:tabs>
        <w:rPr>
          <w:rFonts w:ascii="Arial" w:eastAsia="Calibri" w:hAnsi="Arial" w:cs="Arial"/>
          <w:b/>
          <w:bCs/>
          <w:sz w:val="22"/>
          <w:szCs w:val="22"/>
        </w:rPr>
      </w:pPr>
      <w:r>
        <w:rPr>
          <w:rStyle w:val="Normal"/>
          <w:rFonts w:ascii="Arial" w:hAnsi="Arial"/>
          <w:b/>
          <w:sz w:val="22"/>
        </w:rPr>
        <w:t>L’expérience</w:t>
      </w:r>
      <w:r w:rsidR="00861C6D">
        <w:rPr>
          <w:rStyle w:val="Normal"/>
          <w:rFonts w:ascii="Arial" w:hAnsi="Arial"/>
          <w:b/>
          <w:sz w:val="22"/>
        </w:rPr>
        <w:t xml:space="preserve"> dans le contexte multiculturel et la compréhension de la valeur et l</w:t>
      </w:r>
      <w:r w:rsidR="00861C6D">
        <w:rPr>
          <w:rStyle w:val="Normal"/>
          <w:rFonts w:ascii="Arial" w:hAnsi="Arial" w:cs="Arial"/>
          <w:b/>
          <w:sz w:val="22"/>
          <w:cs/>
        </w:rPr>
        <w:t>’</w:t>
      </w:r>
      <w:r w:rsidR="00861C6D">
        <w:rPr>
          <w:rStyle w:val="Normal"/>
          <w:rFonts w:ascii="Arial" w:hAnsi="Arial"/>
          <w:b/>
          <w:sz w:val="22"/>
        </w:rPr>
        <w:t>importance de la diversité pour l</w:t>
      </w:r>
      <w:r w:rsidR="00861C6D">
        <w:rPr>
          <w:rStyle w:val="Normal"/>
          <w:rFonts w:ascii="Arial" w:hAnsi="Arial" w:cs="Arial"/>
          <w:b/>
          <w:sz w:val="22"/>
          <w:cs/>
        </w:rPr>
        <w:t>’</w:t>
      </w:r>
      <w:r w:rsidR="00861C6D">
        <w:rPr>
          <w:rStyle w:val="Normal"/>
          <w:rFonts w:ascii="Arial" w:hAnsi="Arial"/>
          <w:b/>
          <w:sz w:val="22"/>
        </w:rPr>
        <w:t xml:space="preserve">ICANN en tant que coordinateur mondial du système des noms de domaine </w:t>
      </w:r>
    </w:p>
    <w:p w14:paraId="3F60FA82" w14:textId="77777777" w:rsidR="00861C6D" w:rsidRPr="00152D27" w:rsidRDefault="00861C6D" w:rsidP="00861C6D">
      <w:pPr>
        <w:pStyle w:val="ListParagraph"/>
        <w:tabs>
          <w:tab w:val="left" w:pos="9356"/>
        </w:tabs>
        <w:spacing w:after="0" w:line="240" w:lineRule="auto"/>
        <w:ind w:left="360"/>
        <w:jc w:val="left"/>
        <w:rPr>
          <w:rFonts w:ascii="Arial" w:hAnsi="Arial" w:cs="Arial"/>
          <w:b/>
          <w:bCs/>
          <w:sz w:val="22"/>
        </w:rPr>
      </w:pPr>
      <w:r>
        <w:rPr>
          <w:rStyle w:val="ListParagraph"/>
          <w:rFonts w:ascii="Arial" w:hAnsi="Arial"/>
          <w:b/>
          <w:sz w:val="22"/>
        </w:rPr>
        <w:t>.</w:t>
      </w:r>
    </w:p>
    <w:p w14:paraId="06771D54" w14:textId="77777777" w:rsidR="00861C6D" w:rsidRPr="00152D27" w:rsidRDefault="00861C6D" w:rsidP="00861C6D">
      <w:pPr>
        <w:pStyle w:val="ListParagraph"/>
        <w:tabs>
          <w:tab w:val="left" w:pos="9356"/>
        </w:tabs>
        <w:spacing w:after="0" w:line="240" w:lineRule="auto"/>
        <w:jc w:val="left"/>
        <w:rPr>
          <w:rFonts w:ascii="Arial" w:hAnsi="Arial" w:cs="Arial"/>
          <w:sz w:val="22"/>
        </w:rPr>
      </w:pPr>
      <w:r>
        <w:rPr>
          <w:rStyle w:val="ListParagraph"/>
          <w:u w:val="single"/>
        </w:rPr>
        <w:t>FONDEMENT </w:t>
      </w:r>
      <w:r>
        <w:rPr>
          <w:rStyle w:val="ListParagraph"/>
        </w:rPr>
        <w:t>:</w:t>
      </w:r>
      <w:r>
        <w:rPr>
          <w:rStyle w:val="ListParagraph"/>
          <w:rFonts w:ascii="Arial" w:hAnsi="Arial"/>
          <w:sz w:val="22"/>
        </w:rPr>
        <w:t xml:space="preserve"> La poursuite de la diversité est un objectif légitime de politique publique, en particulier lorsqu</w:t>
      </w:r>
      <w:r>
        <w:rPr>
          <w:rStyle w:val="ListParagraph"/>
          <w:rFonts w:ascii="Arial" w:hAnsi="Arial" w:cs="Arial"/>
          <w:sz w:val="22"/>
          <w:cs/>
        </w:rPr>
        <w:t>’</w:t>
      </w:r>
      <w:r>
        <w:rPr>
          <w:rStyle w:val="ListParagraph"/>
          <w:rFonts w:ascii="Arial" w:hAnsi="Arial"/>
          <w:sz w:val="22"/>
        </w:rPr>
        <w:t>il s</w:t>
      </w:r>
      <w:r>
        <w:rPr>
          <w:rStyle w:val="ListParagraph"/>
          <w:rFonts w:ascii="Arial" w:hAnsi="Arial" w:cs="Arial"/>
          <w:sz w:val="22"/>
          <w:cs/>
        </w:rPr>
        <w:t>’</w:t>
      </w:r>
      <w:r>
        <w:rPr>
          <w:rStyle w:val="ListParagraph"/>
          <w:rFonts w:ascii="Arial" w:hAnsi="Arial"/>
          <w:sz w:val="22"/>
        </w:rPr>
        <w:t>agit d</w:t>
      </w:r>
      <w:r>
        <w:rPr>
          <w:rStyle w:val="ListParagraph"/>
          <w:rFonts w:ascii="Arial" w:hAnsi="Arial" w:cs="Arial"/>
          <w:sz w:val="22"/>
          <w:cs/>
        </w:rPr>
        <w:t>’</w:t>
      </w:r>
      <w:r>
        <w:rPr>
          <w:rStyle w:val="ListParagraph"/>
          <w:rFonts w:ascii="Arial" w:hAnsi="Arial"/>
          <w:sz w:val="22"/>
        </w:rPr>
        <w:t>une organisation mondiale qui s</w:t>
      </w:r>
      <w:r>
        <w:rPr>
          <w:rStyle w:val="ListParagraph"/>
          <w:rFonts w:ascii="Arial" w:hAnsi="Arial" w:cs="Arial"/>
          <w:sz w:val="22"/>
          <w:cs/>
        </w:rPr>
        <w:t>’</w:t>
      </w:r>
      <w:r>
        <w:rPr>
          <w:rStyle w:val="ListParagraph"/>
          <w:rFonts w:ascii="Arial" w:hAnsi="Arial"/>
          <w:sz w:val="22"/>
        </w:rPr>
        <w:t>efforce d</w:t>
      </w:r>
      <w:r>
        <w:rPr>
          <w:rStyle w:val="ListParagraph"/>
          <w:rFonts w:ascii="Arial" w:hAnsi="Arial" w:cs="Arial"/>
          <w:sz w:val="22"/>
          <w:cs/>
        </w:rPr>
        <w:t>’</w:t>
      </w:r>
      <w:r>
        <w:rPr>
          <w:rStyle w:val="ListParagraph"/>
          <w:rFonts w:ascii="Arial" w:hAnsi="Arial"/>
          <w:sz w:val="22"/>
        </w:rPr>
        <w:t xml:space="preserve">être inclusive. </w:t>
      </w:r>
    </w:p>
    <w:p w14:paraId="22ACD9A9" w14:textId="77777777" w:rsidR="00861C6D" w:rsidRDefault="00861C6D" w:rsidP="00861C6D">
      <w:pPr>
        <w:pStyle w:val="BodyText"/>
        <w:ind w:right="545"/>
      </w:pPr>
    </w:p>
    <w:sectPr w:rsidR="00861C6D" w:rsidSect="00861C6D">
      <w:headerReference w:type="default" r:id="rId11"/>
      <w:footerReference w:type="default" r:id="rId12"/>
      <w:headerReference w:type="first" r:id="rId13"/>
      <w:footerReference w:type="first" r:id="rId14"/>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2846" w14:textId="77777777" w:rsidR="00D036D2" w:rsidRDefault="00D036D2" w:rsidP="00861C6D">
      <w:r>
        <w:separator/>
      </w:r>
    </w:p>
  </w:endnote>
  <w:endnote w:type="continuationSeparator" w:id="0">
    <w:p w14:paraId="5A066E11" w14:textId="77777777" w:rsidR="00D036D2" w:rsidRDefault="00D036D2" w:rsidP="0086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EB94" w14:textId="77777777" w:rsidR="00861C6D" w:rsidRDefault="00861C6D" w:rsidP="00861C6D">
    <w:pPr>
      <w:pStyle w:val="Footer"/>
      <w:ind w:left="-567" w:right="261"/>
    </w:pPr>
  </w:p>
  <w:p w14:paraId="4A924BDB" w14:textId="77777777" w:rsidR="00861C6D" w:rsidRPr="00B026C8" w:rsidRDefault="00861C6D" w:rsidP="00861C6D">
    <w:pPr>
      <w:pBdr>
        <w:top w:val="single" w:sz="18" w:space="1" w:color="1F497D"/>
      </w:pBdr>
      <w:spacing w:before="240"/>
      <w:ind w:right="545"/>
      <w:rPr>
        <w:rFonts w:ascii="Century Gothic" w:hAnsi="Century Gothic"/>
        <w:color w:val="00408E"/>
      </w:rPr>
    </w:pPr>
    <w:r>
      <w:rPr>
        <w:rStyle w:val="Normal"/>
        <w:rFonts w:ascii="Century Gothic" w:hAnsi="Century Gothic"/>
        <w:color w:val="00408E"/>
        <w:sz w:val="16"/>
      </w:rPr>
      <w:t xml:space="preserve">       </w:t>
    </w:r>
    <w:r>
      <w:rPr>
        <w:rStyle w:val="Normal"/>
        <w:rFonts w:ascii="Century Gothic" w:hAnsi="Century Gothic"/>
        <w:color w:val="00408E"/>
        <w:sz w:val="16"/>
      </w:rPr>
      <w:tab/>
    </w:r>
    <w:r>
      <w:rPr>
        <w:rStyle w:val="Normal"/>
        <w:rFonts w:ascii="Century Gothic" w:hAnsi="Century Gothic"/>
        <w:color w:val="00408E"/>
        <w:sz w:val="16"/>
      </w:rPr>
      <w:tab/>
      <w:t xml:space="preserve">      </w:t>
    </w:r>
    <w:r>
      <w:rPr>
        <w:rStyle w:val="Normal"/>
        <w:rFonts w:ascii="Century Gothic" w:hAnsi="Century Gothic"/>
        <w:color w:val="00408E"/>
        <w:sz w:val="16"/>
      </w:rPr>
      <w:tab/>
      <w:t xml:space="preserve">                </w:t>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t xml:space="preserve"> Page </w:t>
    </w:r>
    <w:r>
      <w:rPr>
        <w:rStyle w:val="Normal"/>
        <w:rFonts w:ascii="Century Gothic" w:hAnsi="Century Gothic"/>
        <w:color w:val="00408E"/>
        <w:sz w:val="16"/>
      </w:rPr>
      <w:fldChar w:fldCharType="begin"/>
    </w:r>
    <w:r>
      <w:rPr>
        <w:rStyle w:val="Normal"/>
        <w:rFonts w:ascii="Century Gothic" w:hAnsi="Century Gothic"/>
        <w:color w:val="00408E"/>
        <w:sz w:val="16"/>
      </w:rPr>
      <w:instrText xml:space="preserve"> PAGE </w:instrText>
    </w:r>
    <w:r>
      <w:rPr>
        <w:rStyle w:val="Normal"/>
        <w:rFonts w:ascii="Century Gothic" w:hAnsi="Century Gothic"/>
        <w:color w:val="00408E"/>
        <w:sz w:val="16"/>
      </w:rPr>
      <w:fldChar w:fldCharType="separate"/>
    </w:r>
    <w:r>
      <w:rPr>
        <w:rStyle w:val="Normal"/>
        <w:rFonts w:ascii="Century Gothic" w:hAnsi="Century Gothic"/>
        <w:color w:val="00408E"/>
        <w:sz w:val="16"/>
      </w:rPr>
      <w:t>1</w:t>
    </w:r>
    <w:r>
      <w:rPr>
        <w:rStyle w:val="Normal"/>
        <w:rFonts w:ascii="Century Gothic" w:hAnsi="Century Gothic"/>
        <w:color w:val="00408E"/>
        <w:sz w:val="16"/>
      </w:rPr>
      <w:fldChar w:fldCharType="end"/>
    </w:r>
    <w:r>
      <w:rPr>
        <w:rStyle w:val="Normal"/>
        <w:rFonts w:ascii="Century Gothic" w:hAnsi="Century Gothic"/>
        <w:color w:val="00408E"/>
        <w:sz w:val="16"/>
      </w:rPr>
      <w:t xml:space="preserve"> sur </w:t>
    </w:r>
    <w:r>
      <w:rPr>
        <w:rStyle w:val="Normal"/>
        <w:rFonts w:ascii="Century Gothic" w:hAnsi="Century Gothic"/>
        <w:color w:val="00408E"/>
        <w:sz w:val="16"/>
      </w:rPr>
      <w:fldChar w:fldCharType="begin"/>
    </w:r>
    <w:r>
      <w:rPr>
        <w:rStyle w:val="Normal"/>
        <w:rFonts w:ascii="Century Gothic" w:hAnsi="Century Gothic"/>
        <w:color w:val="00408E"/>
        <w:sz w:val="16"/>
      </w:rPr>
      <w:instrText xml:space="preserve"> NUMPAGES  </w:instrText>
    </w:r>
    <w:r>
      <w:rPr>
        <w:rStyle w:val="Normal"/>
        <w:rFonts w:ascii="Century Gothic" w:hAnsi="Century Gothic"/>
        <w:color w:val="00408E"/>
        <w:sz w:val="16"/>
      </w:rPr>
      <w:fldChar w:fldCharType="separate"/>
    </w:r>
    <w:r>
      <w:rPr>
        <w:rStyle w:val="Normal"/>
        <w:rFonts w:ascii="Century Gothic" w:hAnsi="Century Gothic"/>
        <w:color w:val="00408E"/>
        <w:sz w:val="16"/>
      </w:rPr>
      <w:t>1</w:t>
    </w:r>
    <w:r>
      <w:rPr>
        <w:rStyle w:val="Normal"/>
        <w:rFonts w:ascii="Century Gothic" w:hAnsi="Century Gothic"/>
        <w:color w:val="00408E"/>
        <w:sz w:val="16"/>
      </w:rPr>
      <w:fldChar w:fldCharType="end"/>
    </w:r>
  </w:p>
  <w:p w14:paraId="6974E826" w14:textId="77777777" w:rsidR="00861C6D" w:rsidRPr="000C0FD7" w:rsidRDefault="00861C6D" w:rsidP="00861C6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78E8" w14:textId="77777777" w:rsidR="00861C6D" w:rsidRPr="00C2562C" w:rsidRDefault="00861C6D" w:rsidP="00861C6D">
    <w:pPr>
      <w:pBdr>
        <w:top w:val="single" w:sz="18" w:space="1" w:color="1F497D"/>
      </w:pBdr>
      <w:spacing w:before="240"/>
      <w:ind w:right="544"/>
      <w:rPr>
        <w:color w:val="00408E"/>
        <w:sz w:val="2"/>
        <w:szCs w:val="2"/>
      </w:rPr>
    </w:pPr>
  </w:p>
  <w:p w14:paraId="1614063E" w14:textId="77777777" w:rsidR="00861C6D" w:rsidRPr="003900B9" w:rsidRDefault="00861C6D" w:rsidP="00861C6D">
    <w:pPr>
      <w:pStyle w:val="NoSpacing"/>
      <w:ind w:right="544"/>
      <w:jc w:val="right"/>
      <w:rPr>
        <w:sz w:val="16"/>
        <w:szCs w:val="16"/>
        <w:lang w:val="en-US"/>
      </w:rPr>
    </w:pPr>
    <w:r w:rsidRPr="003900B9">
      <w:rPr>
        <w:rStyle w:val="NoSpacing"/>
        <w:sz w:val="16"/>
        <w:lang w:val="en-US"/>
      </w:rPr>
      <w:t xml:space="preserve">203 Drummond Street, Carlton VIC 3053 </w:t>
    </w:r>
  </w:p>
  <w:p w14:paraId="19404793" w14:textId="77777777" w:rsidR="00861C6D" w:rsidRPr="003900B9" w:rsidRDefault="00861C6D" w:rsidP="00861C6D">
    <w:pPr>
      <w:pStyle w:val="NoSpacing"/>
      <w:ind w:right="544"/>
      <w:jc w:val="right"/>
      <w:rPr>
        <w:sz w:val="16"/>
        <w:szCs w:val="16"/>
        <w:lang w:val="en-US"/>
      </w:rPr>
    </w:pPr>
    <w:r w:rsidRPr="003900B9">
      <w:rPr>
        <w:rStyle w:val="NoSpacing"/>
        <w:sz w:val="16"/>
        <w:lang w:val="en-US"/>
      </w:rPr>
      <w:t>03 9650 7222</w:t>
    </w:r>
  </w:p>
  <w:p w14:paraId="52069E14" w14:textId="77777777" w:rsidR="00861C6D" w:rsidRPr="003900B9" w:rsidRDefault="00861C6D" w:rsidP="00861C6D">
    <w:pPr>
      <w:pStyle w:val="NoSpacing"/>
      <w:ind w:right="544"/>
      <w:jc w:val="right"/>
      <w:rPr>
        <w:sz w:val="16"/>
        <w:szCs w:val="16"/>
        <w:lang w:val="en-US"/>
      </w:rPr>
    </w:pPr>
    <w:r w:rsidRPr="003900B9">
      <w:rPr>
        <w:rStyle w:val="NoSpacing"/>
        <w:sz w:val="16"/>
        <w:lang w:val="en-US"/>
      </w:rPr>
      <w:t xml:space="preserve">www.acig.com.au </w:t>
    </w:r>
  </w:p>
  <w:p w14:paraId="62EB50A3" w14:textId="77777777" w:rsidR="00861C6D" w:rsidRPr="003900B9" w:rsidRDefault="00861C6D" w:rsidP="00861C6D">
    <w:pPr>
      <w:pStyle w:val="Footer"/>
      <w:jc w:val="center"/>
      <w:rPr>
        <w:color w:val="00408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BD1E" w14:textId="77777777" w:rsidR="00D036D2" w:rsidRDefault="00D036D2" w:rsidP="00861C6D">
      <w:r>
        <w:separator/>
      </w:r>
    </w:p>
  </w:footnote>
  <w:footnote w:type="continuationSeparator" w:id="0">
    <w:p w14:paraId="17E82F7D" w14:textId="77777777" w:rsidR="00D036D2" w:rsidRDefault="00D036D2" w:rsidP="00861C6D">
      <w:r>
        <w:continuationSeparator/>
      </w:r>
    </w:p>
  </w:footnote>
  <w:footnote w:id="1">
    <w:p w14:paraId="10AE6CF6" w14:textId="77777777" w:rsidR="00861C6D" w:rsidRPr="005D12DF" w:rsidRDefault="00861C6D" w:rsidP="00861C6D">
      <w:pPr>
        <w:pStyle w:val="CommentText"/>
      </w:pPr>
      <w:r>
        <w:rPr>
          <w:rStyle w:val="FootnoteReference"/>
        </w:rPr>
        <w:footnoteRef/>
      </w:r>
      <w:r>
        <w:rPr>
          <w:rStyle w:val="CommentText"/>
        </w:rPr>
        <w:t xml:space="preserve">  Voir </w:t>
      </w:r>
      <w:hyperlink r:id="rId1" w:history="1">
        <w:r>
          <w:rPr>
            <w:rStyle w:val="Hyperlink"/>
          </w:rPr>
          <w:t>https://www.icann.org/en/system/files/correspondence/crocker-to-nomcom-09mar17-en.pdf</w:t>
        </w:r>
      </w:hyperlink>
    </w:p>
    <w:p w14:paraId="0E96C700" w14:textId="77777777" w:rsidR="00861C6D" w:rsidRDefault="00861C6D" w:rsidP="00861C6D">
      <w:pPr>
        <w:pStyle w:val="CommentText"/>
      </w:pPr>
      <w:r>
        <w:rPr>
          <w:rStyle w:val="CommentText"/>
        </w:rPr>
        <w:t>.</w:t>
      </w:r>
    </w:p>
    <w:p w14:paraId="495D163A" w14:textId="77777777" w:rsidR="00861C6D" w:rsidRDefault="00861C6D" w:rsidP="00861C6D">
      <w:pPr>
        <w:pStyle w:val="Comment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B1C" w14:textId="308FA0BE" w:rsidR="00861C6D" w:rsidRDefault="002E14FC" w:rsidP="00861C6D">
    <w:pPr>
      <w:pStyle w:val="Header"/>
      <w:tabs>
        <w:tab w:val="clear" w:pos="4680"/>
        <w:tab w:val="clear" w:pos="9360"/>
      </w:tabs>
      <w:ind w:left="7920" w:right="-306" w:firstLine="444"/>
    </w:pPr>
    <w:r>
      <w:rPr>
        <w:noProof/>
      </w:rPr>
      <mc:AlternateContent>
        <mc:Choice Requires="wps">
          <w:drawing>
            <wp:anchor distT="0" distB="0" distL="114300" distR="114300" simplePos="0" relativeHeight="251657728" behindDoc="1" locked="0" layoutInCell="1" allowOverlap="1" wp14:anchorId="5914DEA6" wp14:editId="06817C71">
              <wp:simplePos x="0" y="0"/>
              <wp:positionH relativeFrom="column">
                <wp:posOffset>4269740</wp:posOffset>
              </wp:positionH>
              <wp:positionV relativeFrom="paragraph">
                <wp:posOffset>222885</wp:posOffset>
              </wp:positionV>
              <wp:extent cx="1607185" cy="2978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97815"/>
                      </a:xfrm>
                      <a:prstGeom prst="rect">
                        <a:avLst/>
                      </a:prstGeom>
                      <a:solidFill>
                        <a:srgbClr val="FFFFFF"/>
                      </a:solidFill>
                      <a:ln>
                        <a:noFill/>
                      </a:ln>
                      <a:extLst>
                        <a:ext uri="{91240B29-F687-4f45-9708-019B960494DF}"/>
                      </a:extLst>
                    </wps:spPr>
                    <wps:txbx>
                      <w:txbxContent>
                        <w:p w14:paraId="63EF8C00" w14:textId="77777777" w:rsidR="00861C6D" w:rsidRPr="00A12C22" w:rsidRDefault="00861C6D" w:rsidP="00861C6D">
                          <w:pPr>
                            <w:ind w:left="-142"/>
                            <w:rPr>
                              <w:rFonts w:ascii="Arial Narrow" w:hAnsi="Arial Narrow"/>
                              <w:color w:val="C00000"/>
                              <w:sz w:val="32"/>
                              <w:szCs w:val="32"/>
                            </w:rPr>
                          </w:pPr>
                          <w:r>
                            <w:rPr>
                              <w:rStyle w:val="Normal"/>
                              <w:rFonts w:ascii="Arial Narrow" w:hAnsi="Arial Narrow"/>
                              <w:color w:val="C00000"/>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4DEA6" id="_x0000_t202" coordsize="21600,21600" o:spt="202" path="m,l,21600r21600,l21600,xe">
              <v:stroke joinstyle="miter"/>
              <v:path gradientshapeok="t" o:connecttype="rect"/>
            </v:shapetype>
            <v:shape id="Text Box 4" o:spid="_x0000_s1026" type="#_x0000_t202" style="position:absolute;left:0;text-align:left;margin-left:336.2pt;margin-top:17.55pt;width:126.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" stroked="f">
              <v:textbox>
                <w:txbxContent>
                  <w:p w14:paraId="63EF8C00" w14:textId="77777777" w:rsidR="00861C6D" w:rsidRPr="00A12C22" w:rsidRDefault="00861C6D" w:rsidP="00861C6D">
                    <w:pPr>
                      <w:ind w:left="-142"/>
                      <w:rPr>
                        <w:rFonts w:ascii="Arial Narrow" w:hAnsi="Arial Narrow"/>
                        <w:color w:val="C00000"/>
                        <w:sz w:val="32"/>
                        <w:szCs w:val="32"/>
                      </w:rPr>
                    </w:pPr>
                    <w:r>
                      <w:rPr>
                        <w:rStyle w:val="Normal"/>
                        <w:rFonts w:ascii="Arial Narrow" w:hAnsi="Arial Narrow"/>
                        <w:color w:val="C00000"/>
                        <w:sz w:val="32"/>
                      </w:rPr>
                      <w:t>Secrétariat du GAC</w:t>
                    </w:r>
                  </w:p>
                </w:txbxContent>
              </v:textbox>
            </v:shape>
          </w:pict>
        </mc:Fallback>
      </mc:AlternateContent>
    </w:r>
    <w:r>
      <w:rPr>
        <w:noProof/>
      </w:rPr>
      <w:drawing>
        <wp:inline distT="0" distB="0" distL="0" distR="0" wp14:anchorId="4A81D409" wp14:editId="04FCFB76">
          <wp:extent cx="424180" cy="271780"/>
          <wp:effectExtent l="0" t="0" r="0" b="0"/>
          <wp:docPr id="1"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271780"/>
                  </a:xfrm>
                  <a:prstGeom prst="rect">
                    <a:avLst/>
                  </a:prstGeom>
                  <a:noFill/>
                  <a:ln>
                    <a:noFill/>
                  </a:ln>
                </pic:spPr>
              </pic:pic>
            </a:graphicData>
          </a:graphic>
        </wp:inline>
      </w:drawing>
    </w:r>
    <w:r w:rsidR="00861C6D">
      <w:rPr>
        <w:rStyle w:val="Head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7C3D" w14:textId="77566DB7" w:rsidR="00861C6D" w:rsidRDefault="002E14FC" w:rsidP="00861C6D">
    <w:pPr>
      <w:pStyle w:val="Header"/>
      <w:tabs>
        <w:tab w:val="clear" w:pos="9360"/>
      </w:tabs>
      <w:ind w:left="-851"/>
      <w:jc w:val="center"/>
    </w:pPr>
    <w:r>
      <w:rPr>
        <w:noProof/>
      </w:rPr>
      <w:drawing>
        <wp:inline distT="0" distB="0" distL="0" distR="0" wp14:anchorId="71B04D0F" wp14:editId="6D3A7990">
          <wp:extent cx="3053080" cy="790575"/>
          <wp:effectExtent l="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08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A700F5E"/>
    <w:multiLevelType w:val="hybridMultilevel"/>
    <w:tmpl w:val="72A6DD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5533AD2"/>
    <w:multiLevelType w:val="hybridMultilevel"/>
    <w:tmpl w:val="8C18E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AF110C2"/>
    <w:multiLevelType w:val="hybridMultilevel"/>
    <w:tmpl w:val="0FF220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7523C5"/>
    <w:multiLevelType w:val="hybridMultilevel"/>
    <w:tmpl w:val="039E10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A245BD"/>
    <w:multiLevelType w:val="hybridMultilevel"/>
    <w:tmpl w:val="3446D7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8283D1D"/>
    <w:multiLevelType w:val="hybridMultilevel"/>
    <w:tmpl w:val="6E60CC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AFA7D23"/>
    <w:multiLevelType w:val="hybridMultilevel"/>
    <w:tmpl w:val="0F442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5B7F5318"/>
    <w:multiLevelType w:val="hybridMultilevel"/>
    <w:tmpl w:val="A88A34A0"/>
    <w:lvl w:ilvl="0">
      <w:start w:val="1"/>
      <w:numFmt w:val="bullet"/>
      <w:pStyle w:val="ListBullet2"/>
      <w:lvlText w:val=""/>
      <w:lvlJc w:val="left"/>
      <w:pPr>
        <w:ind w:left="1361" w:hanging="360"/>
      </w:pPr>
      <w:rPr>
        <w:rFonts w:ascii="Symbol" w:hAnsi="Symbol" w:hint="default"/>
      </w:rPr>
    </w:lvl>
    <w:lvl w:ilvl="1" w:tentative="1">
      <w:start w:val="1"/>
      <w:numFmt w:val="bullet"/>
      <w:lvlText w:val="o"/>
      <w:lvlJc w:val="left"/>
      <w:pPr>
        <w:ind w:left="2081" w:hanging="360"/>
      </w:pPr>
      <w:rPr>
        <w:rFonts w:ascii="Courier New" w:hAnsi="Courier New" w:cs="Courier New" w:hint="default"/>
      </w:rPr>
    </w:lvl>
    <w:lvl w:ilvl="2" w:tentative="1">
      <w:start w:val="1"/>
      <w:numFmt w:val="bullet"/>
      <w:lvlText w:val=""/>
      <w:lvlJc w:val="left"/>
      <w:pPr>
        <w:ind w:left="2801" w:hanging="360"/>
      </w:pPr>
      <w:rPr>
        <w:rFonts w:ascii="Wingdings" w:hAnsi="Wingdings" w:hint="default"/>
      </w:rPr>
    </w:lvl>
    <w:lvl w:ilvl="3" w:tentative="1">
      <w:start w:val="1"/>
      <w:numFmt w:val="bullet"/>
      <w:lvlText w:val=""/>
      <w:lvlJc w:val="left"/>
      <w:pPr>
        <w:ind w:left="3521" w:hanging="360"/>
      </w:pPr>
      <w:rPr>
        <w:rFonts w:ascii="Symbol" w:hAnsi="Symbol" w:hint="default"/>
      </w:rPr>
    </w:lvl>
    <w:lvl w:ilvl="4" w:tentative="1">
      <w:start w:val="1"/>
      <w:numFmt w:val="bullet"/>
      <w:lvlText w:val="o"/>
      <w:lvlJc w:val="left"/>
      <w:pPr>
        <w:ind w:left="4241" w:hanging="360"/>
      </w:pPr>
      <w:rPr>
        <w:rFonts w:ascii="Courier New" w:hAnsi="Courier New" w:cs="Courier New" w:hint="default"/>
      </w:rPr>
    </w:lvl>
    <w:lvl w:ilvl="5" w:tentative="1">
      <w:start w:val="1"/>
      <w:numFmt w:val="bullet"/>
      <w:lvlText w:val=""/>
      <w:lvlJc w:val="left"/>
      <w:pPr>
        <w:ind w:left="4961" w:hanging="360"/>
      </w:pPr>
      <w:rPr>
        <w:rFonts w:ascii="Wingdings" w:hAnsi="Wingdings" w:hint="default"/>
      </w:rPr>
    </w:lvl>
    <w:lvl w:ilvl="6" w:tentative="1">
      <w:start w:val="1"/>
      <w:numFmt w:val="bullet"/>
      <w:lvlText w:val=""/>
      <w:lvlJc w:val="left"/>
      <w:pPr>
        <w:ind w:left="5681" w:hanging="360"/>
      </w:pPr>
      <w:rPr>
        <w:rFonts w:ascii="Symbol" w:hAnsi="Symbol" w:hint="default"/>
      </w:rPr>
    </w:lvl>
    <w:lvl w:ilvl="7" w:tentative="1">
      <w:start w:val="1"/>
      <w:numFmt w:val="bullet"/>
      <w:lvlText w:val="o"/>
      <w:lvlJc w:val="left"/>
      <w:pPr>
        <w:ind w:left="6401" w:hanging="360"/>
      </w:pPr>
      <w:rPr>
        <w:rFonts w:ascii="Courier New" w:hAnsi="Courier New" w:cs="Courier New" w:hint="default"/>
      </w:rPr>
    </w:lvl>
    <w:lvl w:ilvl="8" w:tentative="1">
      <w:start w:val="1"/>
      <w:numFmt w:val="bullet"/>
      <w:lvlText w:val=""/>
      <w:lvlJc w:val="left"/>
      <w:pPr>
        <w:ind w:left="712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7"/>
  </w:num>
  <w:num w:numId="14">
    <w:abstractNumId w:val="11"/>
  </w:num>
  <w:num w:numId="15">
    <w:abstractNumId w:val="14"/>
  </w:num>
  <w:num w:numId="16">
    <w:abstractNumId w:val="15"/>
  </w:num>
  <w:num w:numId="17">
    <w:abstractNumId w:val="1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2E14FC"/>
    <w:rsid w:val="003900B9"/>
    <w:rsid w:val="005E02ED"/>
    <w:rsid w:val="00861C6D"/>
    <w:rsid w:val="00D036D2"/>
    <w:rsid w:val="00E4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EF320"/>
  <w15:docId w15:val="{AC4AB8D6-95C8-4E96-93BE-E66C0F2B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fr-FR" w:eastAsia="fr-FR"/>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val="fr-FR" w:eastAsia="fr-FR"/>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5459"/>
    <w:rPr>
      <w:b/>
      <w:color w:val="1F4E79"/>
      <w:sz w:val="24"/>
      <w:szCs w:val="24"/>
      <w:lang w:val="fr-FR" w:eastAsia="fr-FR"/>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link w:val="Header"/>
    <w:uiPriority w:val="99"/>
    <w:rsid w:val="00AD1076"/>
    <w:rPr>
      <w:rFonts w:ascii="Century Gothic" w:hAnsi="Century Gothic"/>
      <w:szCs w:val="22"/>
      <w:lang w:val="fr-FR" w:eastAsia="fr-FR"/>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link w:val="Footer"/>
    <w:uiPriority w:val="99"/>
    <w:rsid w:val="00A24449"/>
    <w:rPr>
      <w:rFonts w:ascii="Century Gothic" w:hAnsi="Century Gothic"/>
      <w:szCs w:val="22"/>
      <w:lang w:val="fr-FR" w:eastAsia="fr-FR"/>
    </w:rPr>
  </w:style>
  <w:style w:type="character" w:customStyle="1" w:styleId="Heading1Char">
    <w:name w:val="Heading 1 Char"/>
    <w:link w:val="Heading1"/>
    <w:uiPriority w:val="9"/>
    <w:rsid w:val="00CF4E9A"/>
    <w:rPr>
      <w:b/>
      <w:color w:val="00408E"/>
      <w:sz w:val="28"/>
      <w:szCs w:val="28"/>
      <w:lang w:val="fr-FR" w:eastAsia="fr-FR"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val="fr-FR" w:eastAsia="fr-FR"/>
    </w:rPr>
  </w:style>
  <w:style w:type="character" w:customStyle="1" w:styleId="BodyTextChar">
    <w:name w:val="Body Text Char"/>
    <w:link w:val="BodyText"/>
    <w:uiPriority w:val="99"/>
    <w:rsid w:val="004E22C7"/>
    <w:rPr>
      <w:szCs w:val="22"/>
      <w:lang w:val="fr-FR" w:eastAsia="fr-FR" w:bidi="ar-SA"/>
    </w:rPr>
  </w:style>
  <w:style w:type="character" w:customStyle="1" w:styleId="TitleChar">
    <w:name w:val="Title Char"/>
    <w:link w:val="Title"/>
    <w:uiPriority w:val="10"/>
    <w:rsid w:val="00A86B36"/>
    <w:rPr>
      <w:rFonts w:eastAsia="Times New Roman"/>
      <w:b/>
      <w:bCs/>
      <w:color w:val="00408E"/>
      <w:kern w:val="28"/>
      <w:sz w:val="48"/>
      <w:szCs w:val="48"/>
      <w:lang w:val="fr-FR" w:eastAsia="fr-FR"/>
    </w:rPr>
  </w:style>
  <w:style w:type="character" w:styleId="Hyperlink">
    <w:name w:val="Hyperlink"/>
    <w:uiPriority w:val="99"/>
    <w:unhideWhenUsed/>
    <w:rsid w:val="0072423D"/>
    <w:rPr>
      <w:color w:val="0000FF"/>
      <w:u w:val="single"/>
      <w:lang w:val="fr-FR" w:eastAsia="fr-FR"/>
    </w:rPr>
  </w:style>
  <w:style w:type="character" w:customStyle="1" w:styleId="Heading3Char">
    <w:name w:val="Heading 3 Char"/>
    <w:link w:val="Heading3"/>
    <w:uiPriority w:val="9"/>
    <w:rsid w:val="00CF4E9A"/>
    <w:rPr>
      <w:b/>
      <w:color w:val="00408E"/>
      <w:szCs w:val="22"/>
      <w:lang w:val="fr-FR" w:eastAsia="fr-FR"/>
    </w:rPr>
  </w:style>
  <w:style w:type="character" w:customStyle="1" w:styleId="Heading4Char">
    <w:name w:val="Heading 4 Char"/>
    <w:link w:val="Heading4"/>
    <w:uiPriority w:val="9"/>
    <w:rsid w:val="004E22C7"/>
    <w:rPr>
      <w:color w:val="00408E"/>
      <w:szCs w:val="22"/>
      <w:lang w:val="fr-FR" w:eastAsia="fr-FR"/>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99"/>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val="fr-FR" w:eastAsia="fr-FR"/>
    </w:rPr>
  </w:style>
  <w:style w:type="paragraph" w:styleId="FootnoteText">
    <w:name w:val="footnote text"/>
    <w:basedOn w:val="Normal"/>
    <w:link w:val="FootnoteTextChar"/>
    <w:uiPriority w:val="99"/>
    <w:unhideWhenUsed/>
    <w:rsid w:val="00406CEE"/>
  </w:style>
  <w:style w:type="character" w:customStyle="1" w:styleId="FootnoteTextChar">
    <w:name w:val="Footnote Text Char"/>
    <w:link w:val="FootnoteText"/>
    <w:uiPriority w:val="99"/>
    <w:rsid w:val="00406CEE"/>
    <w:rPr>
      <w:rFonts w:ascii="Calibri" w:eastAsia="Times New Roman" w:hAnsi="Calibri" w:cs="Times New Roman"/>
      <w:sz w:val="24"/>
      <w:szCs w:val="24"/>
      <w:lang w:val="fr-FR" w:eastAsia="fr-FR"/>
    </w:rPr>
  </w:style>
  <w:style w:type="character" w:styleId="FootnoteReference">
    <w:name w:val="footnote reference"/>
    <w:uiPriority w:val="99"/>
    <w:unhideWhenUsed/>
    <w:rsid w:val="00406CEE"/>
    <w:rPr>
      <w:vertAlign w:val="superscript"/>
      <w:lang w:val="fr-FR" w:eastAsia="fr-FR"/>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link w:val="BalloonText"/>
    <w:uiPriority w:val="99"/>
    <w:semiHidden/>
    <w:rsid w:val="00406CEE"/>
    <w:rPr>
      <w:rFonts w:ascii="Tahoma" w:eastAsia="Times New Roman" w:hAnsi="Tahoma" w:cs="Tahoma"/>
      <w:sz w:val="16"/>
      <w:szCs w:val="16"/>
      <w:lang w:val="fr-FR" w:eastAsia="fr-FR"/>
    </w:rPr>
  </w:style>
  <w:style w:type="character" w:styleId="UnresolvedMention">
    <w:name w:val="Unresolved Mention"/>
    <w:uiPriority w:val="99"/>
    <w:rsid w:val="00302AA4"/>
    <w:rPr>
      <w:color w:val="808080"/>
      <w:lang w:val="fr-FR" w:eastAsia="fr-FR"/>
    </w:rPr>
  </w:style>
  <w:style w:type="paragraph" w:styleId="CommentText">
    <w:name w:val="annotation text"/>
    <w:basedOn w:val="Normal"/>
    <w:link w:val="CommentTextChar"/>
    <w:uiPriority w:val="99"/>
    <w:semiHidden/>
    <w:rsid w:val="00A035DD"/>
    <w:rPr>
      <w:rFonts w:cs="Calibri"/>
      <w:sz w:val="20"/>
      <w:szCs w:val="20"/>
    </w:rPr>
  </w:style>
  <w:style w:type="character" w:customStyle="1" w:styleId="CommentTextChar">
    <w:name w:val="Comment Text Char"/>
    <w:link w:val="CommentText"/>
    <w:uiPriority w:val="99"/>
    <w:semiHidden/>
    <w:rsid w:val="00A035DD"/>
    <w:rPr>
      <w:rFonts w:ascii="Calibri" w:eastAsia="Times New Roman" w:hAnsi="Calibri" w:cs="Calibri"/>
      <w:lang w:val="fr-FR" w:eastAsia="fr-FR"/>
    </w:rPr>
  </w:style>
  <w:style w:type="character" w:styleId="FollowedHyperlink">
    <w:name w:val="FollowedHyperlink"/>
    <w:uiPriority w:val="99"/>
    <w:semiHidden/>
    <w:unhideWhenUsed/>
    <w:rsid w:val="00A035DD"/>
    <w:rPr>
      <w:color w:val="954F72"/>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c.icann.org/working-group/gac-working-group-on-gac-participation-in-no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ty.icann.org/display/OR" TargetMode="External"/><Relationship Id="rId4" Type="http://schemas.openxmlformats.org/officeDocument/2006/relationships/settings" Target="settings.xml"/><Relationship Id="rId9" Type="http://schemas.openxmlformats.org/officeDocument/2006/relationships/hyperlink" Target="https://www.icann.org/nomcom201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correspondence/crocker-to-nomcom-09mar17-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C07E-5794-4911-BF2A-8C26ED17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Title</vt:lpstr>
      <vt:lpstr>Document Title</vt:lpstr>
    </vt:vector>
  </TitlesOfParts>
  <Company/>
  <LinksUpToDate>false</LinksUpToDate>
  <CharactersWithSpaces>3951</CharactersWithSpaces>
  <SharedDoc>false</SharedDoc>
  <HLinks>
    <vt:vector size="24" baseType="variant">
      <vt:variant>
        <vt:i4>8126504</vt:i4>
      </vt:variant>
      <vt:variant>
        <vt:i4>6</vt:i4>
      </vt:variant>
      <vt:variant>
        <vt:i4>0</vt:i4>
      </vt:variant>
      <vt:variant>
        <vt:i4>5</vt:i4>
      </vt:variant>
      <vt:variant>
        <vt:lpwstr>https://community.icann.org/display/OR</vt:lpwstr>
      </vt:variant>
      <vt:variant>
        <vt:lpwstr/>
      </vt:variant>
      <vt:variant>
        <vt:i4>6225985</vt:i4>
      </vt:variant>
      <vt:variant>
        <vt:i4>3</vt:i4>
      </vt:variant>
      <vt:variant>
        <vt:i4>0</vt:i4>
      </vt:variant>
      <vt:variant>
        <vt:i4>5</vt:i4>
      </vt:variant>
      <vt:variant>
        <vt:lpwstr>https://www.icann.org/nomcom2018</vt:lpwstr>
      </vt:variant>
      <vt:variant>
        <vt:lpwstr/>
      </vt:variant>
      <vt:variant>
        <vt:i4>4522002</vt:i4>
      </vt:variant>
      <vt:variant>
        <vt:i4>0</vt:i4>
      </vt:variant>
      <vt:variant>
        <vt:i4>0</vt:i4>
      </vt:variant>
      <vt:variant>
        <vt:i4>5</vt:i4>
      </vt:variant>
      <vt:variant>
        <vt:lpwstr>https://gac.icann.org/working-group/gac-working-group-on-gac-participation-in-nomcom</vt:lpwstr>
      </vt:variant>
      <vt:variant>
        <vt:lpwstr/>
      </vt:variant>
      <vt:variant>
        <vt:i4>4522003</vt:i4>
      </vt:variant>
      <vt:variant>
        <vt:i4>0</vt:i4>
      </vt:variant>
      <vt:variant>
        <vt:i4>0</vt:i4>
      </vt:variant>
      <vt:variant>
        <vt:i4>5</vt:i4>
      </vt:variant>
      <vt:variant>
        <vt:lpwstr>https://www.icann.org/en/system/files/correspondence/crocker-to-nomcom-09mar17-en.pdf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keywords/>
  <cp:lastModifiedBy>LS Pros</cp:lastModifiedBy>
  <cp:revision>2</cp:revision>
  <cp:lastPrinted>2013-11-27T05:14:00Z</cp:lastPrinted>
  <dcterms:created xsi:type="dcterms:W3CDTF">2018-06-21T21:05:00Z</dcterms:created>
  <dcterms:modified xsi:type="dcterms:W3CDTF">2018-06-21T21:05:00Z</dcterms:modified>
</cp:coreProperties>
</file>